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749962CA" w:rsidR="001176C9" w:rsidRPr="00F5183A" w:rsidRDefault="13B78135" w:rsidP="13B78135">
      <w:r>
        <w:rPr>
          <w:noProof/>
        </w:rPr>
        <w:drawing>
          <wp:anchor distT="0" distB="0" distL="114300" distR="114300" simplePos="0" relativeHeight="251658240" behindDoc="0" locked="0" layoutInCell="1" allowOverlap="1" wp14:anchorId="3FBC3EEA" wp14:editId="266945DB">
            <wp:simplePos x="0" y="0"/>
            <wp:positionH relativeFrom="column">
              <wp:align>right</wp:align>
            </wp:positionH>
            <wp:positionV relativeFrom="paragraph">
              <wp:posOffset>0</wp:posOffset>
            </wp:positionV>
            <wp:extent cx="920576" cy="1072989"/>
            <wp:effectExtent l="0" t="0" r="0" b="0"/>
            <wp:wrapSquare wrapText="bothSides"/>
            <wp:docPr id="19514228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874" name=""/>
                    <pic:cNvPicPr/>
                  </pic:nvPicPr>
                  <pic:blipFill>
                    <a:blip r:embed="rId10">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77777777" w:rsidR="00FE6047" w:rsidRPr="00F5183A" w:rsidRDefault="00FE6047" w:rsidP="13B78135">
      <w:pPr>
        <w:spacing w:before="400" w:line="360" w:lineRule="auto"/>
        <w:rPr>
          <w:rFonts w:ascii="Century Gothic" w:eastAsia="Century Gothic" w:hAnsi="Century Gothic" w:cs="Century Gothic"/>
          <w:b/>
          <w:bCs/>
          <w:color w:val="1F3864" w:themeColor="accent5" w:themeShade="80"/>
          <w:spacing w:val="-20"/>
          <w:sz w:val="48"/>
          <w:szCs w:val="48"/>
        </w:rPr>
      </w:pPr>
      <w:r w:rsidRPr="13B78135">
        <w:rPr>
          <w:rFonts w:ascii="Century Gothic" w:eastAsia="Century Gothic" w:hAnsi="Century Gothic" w:cs="Century Gothic"/>
          <w:b/>
          <w:bCs/>
          <w:color w:val="1F3864" w:themeColor="accent5" w:themeShade="80"/>
          <w:spacing w:val="-20"/>
          <w:sz w:val="48"/>
          <w:szCs w:val="48"/>
        </w:rPr>
        <w:t>DERBY COLLEGE GROUP</w:t>
      </w:r>
    </w:p>
    <w:p w14:paraId="01B37FBB" w14:textId="6B5913F7" w:rsidR="00FE6047" w:rsidRPr="00F5183A" w:rsidRDefault="00FE6047" w:rsidP="13B78135">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13B78135">
        <w:rPr>
          <w:rFonts w:ascii="Century Gothic" w:eastAsia="Century Gothic" w:hAnsi="Century Gothic" w:cs="Century Gothic"/>
          <w:b/>
          <w:bCs/>
          <w:color w:val="1F3864" w:themeColor="accent5" w:themeShade="80"/>
          <w:spacing w:val="-20"/>
          <w:sz w:val="48"/>
          <w:szCs w:val="48"/>
        </w:rPr>
        <w:t>POLICY</w:t>
      </w:r>
    </w:p>
    <w:p w14:paraId="7F308755" w14:textId="244C443C" w:rsidR="00FE6047" w:rsidRPr="00F5183A" w:rsidRDefault="00EA7FED" w:rsidP="13B78135">
      <w:pPr>
        <w:spacing w:before="1440" w:after="240" w:line="360" w:lineRule="auto"/>
        <w:rPr>
          <w:rFonts w:ascii="Century Gothic" w:eastAsia="Century Gothic" w:hAnsi="Century Gothic" w:cs="Century Gothic"/>
          <w:color w:val="1F3864" w:themeColor="accent5" w:themeShade="80"/>
          <w:sz w:val="56"/>
          <w:szCs w:val="56"/>
        </w:rPr>
      </w:pPr>
      <w:r w:rsidRPr="13B78135">
        <w:rPr>
          <w:rFonts w:ascii="Century Gothic" w:eastAsia="Century Gothic" w:hAnsi="Century Gothic" w:cs="Century Gothic"/>
          <w:color w:val="1F3864" w:themeColor="accent5" w:themeShade="80"/>
          <w:sz w:val="56"/>
          <w:szCs w:val="56"/>
        </w:rPr>
        <w:t xml:space="preserve">HE </w:t>
      </w:r>
      <w:r w:rsidR="00DB3A6A" w:rsidRPr="13B78135">
        <w:rPr>
          <w:rFonts w:ascii="Century Gothic" w:eastAsia="Century Gothic" w:hAnsi="Century Gothic" w:cs="Century Gothic"/>
          <w:color w:val="1F3864" w:themeColor="accent5" w:themeShade="80"/>
          <w:sz w:val="56"/>
          <w:szCs w:val="56"/>
        </w:rPr>
        <w:t xml:space="preserve">Recognition of Prior Learning Policy </w:t>
      </w:r>
    </w:p>
    <w:p w14:paraId="65088FFA" w14:textId="5DC1D6F9" w:rsidR="00FE6047" w:rsidRPr="00F5183A" w:rsidRDefault="00FE6047" w:rsidP="13B78135">
      <w:pPr>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Number:</w:t>
      </w:r>
      <w:r>
        <w:tab/>
      </w:r>
      <w:r w:rsidR="00EA7FED" w:rsidRPr="13B78135">
        <w:rPr>
          <w:rFonts w:ascii="Century Gothic" w:eastAsia="Century Gothic" w:hAnsi="Century Gothic" w:cs="Century Gothic"/>
          <w:color w:val="1F3864" w:themeColor="accent5" w:themeShade="80"/>
        </w:rPr>
        <w:t>HE0</w:t>
      </w:r>
      <w:r w:rsidR="00916A3A" w:rsidRPr="13B78135">
        <w:rPr>
          <w:rFonts w:ascii="Century Gothic" w:eastAsia="Century Gothic" w:hAnsi="Century Gothic" w:cs="Century Gothic"/>
          <w:color w:val="1F3864" w:themeColor="accent5" w:themeShade="80"/>
        </w:rPr>
        <w:t>1</w:t>
      </w:r>
      <w:r w:rsidR="7C9FD6D3" w:rsidRPr="13B78135">
        <w:rPr>
          <w:rFonts w:ascii="Century Gothic" w:eastAsia="Century Gothic" w:hAnsi="Century Gothic" w:cs="Century Gothic"/>
          <w:color w:val="1F3864" w:themeColor="accent5" w:themeShade="80"/>
        </w:rPr>
        <w:t>0</w:t>
      </w:r>
    </w:p>
    <w:p w14:paraId="2D63E3BE" w14:textId="77777777"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Executive Owner:</w:t>
      </w:r>
      <w:r>
        <w:tab/>
      </w:r>
      <w:r w:rsidRPr="13B78135">
        <w:rPr>
          <w:rFonts w:ascii="Century Gothic" w:eastAsia="Century Gothic" w:hAnsi="Century Gothic" w:cs="Century Gothic"/>
          <w:color w:val="1F3864" w:themeColor="accent5" w:themeShade="80"/>
        </w:rPr>
        <w:t>Deputy CEO</w:t>
      </w:r>
    </w:p>
    <w:p w14:paraId="6C24A945" w14:textId="77777777"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Owning Strategy / Department:</w:t>
      </w:r>
      <w:r>
        <w:tab/>
      </w:r>
      <w:r w:rsidRPr="13B78135">
        <w:rPr>
          <w:rFonts w:ascii="Century Gothic" w:eastAsia="Century Gothic" w:hAnsi="Century Gothic" w:cs="Century Gothic"/>
          <w:color w:val="1F3864" w:themeColor="accent5" w:themeShade="80"/>
        </w:rPr>
        <w:t>Higher Education</w:t>
      </w:r>
    </w:p>
    <w:p w14:paraId="557EA437" w14:textId="77777777"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Approval Board / Committee / Group:</w:t>
      </w:r>
      <w:r>
        <w:tab/>
      </w:r>
      <w:r w:rsidRPr="13B78135">
        <w:rPr>
          <w:rFonts w:ascii="Century Gothic" w:eastAsia="Century Gothic" w:hAnsi="Century Gothic" w:cs="Century Gothic"/>
          <w:color w:val="1F3864" w:themeColor="accent5" w:themeShade="80"/>
        </w:rPr>
        <w:t>HE Academic Board</w:t>
      </w:r>
    </w:p>
    <w:p w14:paraId="766EBE66" w14:textId="77777777"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User Group:</w:t>
      </w:r>
      <w:r>
        <w:tab/>
      </w:r>
      <w:r w:rsidRPr="13B78135">
        <w:rPr>
          <w:rFonts w:ascii="Century Gothic" w:eastAsia="Century Gothic" w:hAnsi="Century Gothic" w:cs="Century Gothic"/>
          <w:color w:val="1F3864" w:themeColor="accent5" w:themeShade="80"/>
        </w:rPr>
        <w:t>All students on a Higher Education programme</w:t>
      </w:r>
    </w:p>
    <w:p w14:paraId="118B48E4" w14:textId="77777777"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Relevant To:</w:t>
      </w:r>
      <w:r>
        <w:tab/>
      </w:r>
      <w:r w:rsidRPr="13B78135">
        <w:rPr>
          <w:rFonts w:ascii="Century Gothic" w:eastAsia="Century Gothic" w:hAnsi="Century Gothic" w:cs="Century Gothic"/>
          <w:color w:val="1F3864" w:themeColor="accent5" w:themeShade="80"/>
        </w:rPr>
        <w:t>As above</w:t>
      </w:r>
    </w:p>
    <w:p w14:paraId="277813CB" w14:textId="4DB67242" w:rsidR="00B02D70" w:rsidRPr="00F5183A"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Implementation Date:</w:t>
      </w:r>
      <w:r>
        <w:tab/>
      </w:r>
      <w:r w:rsidR="00D743FA" w:rsidRPr="13B78135">
        <w:rPr>
          <w:rFonts w:ascii="Century Gothic" w:eastAsia="Century Gothic" w:hAnsi="Century Gothic" w:cs="Century Gothic"/>
          <w:color w:val="1F3864" w:themeColor="accent5" w:themeShade="80"/>
        </w:rPr>
        <w:t>July 2019</w:t>
      </w:r>
      <w:r w:rsidRPr="13B78135">
        <w:rPr>
          <w:rFonts w:ascii="Century Gothic" w:eastAsia="Century Gothic" w:hAnsi="Century Gothic" w:cs="Century Gothic"/>
          <w:color w:val="1F3864" w:themeColor="accent5" w:themeShade="80"/>
        </w:rPr>
        <w:t xml:space="preserve"> </w:t>
      </w:r>
    </w:p>
    <w:p w14:paraId="449C18BB" w14:textId="29F8FDF7" w:rsidR="00B02D70" w:rsidRDefault="00B02D70"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Approval Date:</w:t>
      </w:r>
      <w:r>
        <w:tab/>
      </w:r>
      <w:r w:rsidRPr="13B78135">
        <w:rPr>
          <w:rFonts w:ascii="Century Gothic" w:eastAsia="Century Gothic" w:hAnsi="Century Gothic" w:cs="Century Gothic"/>
          <w:color w:val="1F3864" w:themeColor="accent5" w:themeShade="80"/>
        </w:rPr>
        <w:t>July 20</w:t>
      </w:r>
      <w:r w:rsidR="00D743FA" w:rsidRPr="13B78135">
        <w:rPr>
          <w:rFonts w:ascii="Century Gothic" w:eastAsia="Century Gothic" w:hAnsi="Century Gothic" w:cs="Century Gothic"/>
          <w:color w:val="1F3864" w:themeColor="accent5" w:themeShade="80"/>
        </w:rPr>
        <w:t>19</w:t>
      </w:r>
    </w:p>
    <w:p w14:paraId="5676995B" w14:textId="70E26B51" w:rsidR="00C040B6" w:rsidRDefault="00C040B6" w:rsidP="13B78135">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 xml:space="preserve">Next Review </w:t>
      </w:r>
      <w:r w:rsidR="650498A2" w:rsidRPr="13B78135">
        <w:rPr>
          <w:rFonts w:ascii="Century Gothic" w:eastAsia="Century Gothic" w:hAnsi="Century Gothic" w:cs="Century Gothic"/>
          <w:color w:val="1F3864" w:themeColor="accent5" w:themeShade="80"/>
        </w:rPr>
        <w:t xml:space="preserve">Period Start </w:t>
      </w:r>
      <w:r w:rsidRPr="13B78135">
        <w:rPr>
          <w:rFonts w:ascii="Century Gothic" w:eastAsia="Century Gothic" w:hAnsi="Century Gothic" w:cs="Century Gothic"/>
          <w:color w:val="1F3864" w:themeColor="accent5" w:themeShade="80"/>
        </w:rPr>
        <w:t>Date:</w:t>
      </w:r>
      <w:r>
        <w:tab/>
      </w:r>
      <w:r w:rsidR="2E17481E" w:rsidRPr="13B78135">
        <w:rPr>
          <w:rFonts w:ascii="Century Gothic" w:eastAsia="Century Gothic" w:hAnsi="Century Gothic" w:cs="Century Gothic"/>
          <w:color w:val="1F3864" w:themeColor="accent5" w:themeShade="80"/>
        </w:rPr>
        <w:t>August</w:t>
      </w:r>
      <w:r w:rsidR="4E95C853" w:rsidRPr="13B78135">
        <w:rPr>
          <w:rFonts w:ascii="Century Gothic" w:eastAsia="Century Gothic" w:hAnsi="Century Gothic" w:cs="Century Gothic"/>
          <w:color w:val="1F3864" w:themeColor="accent5" w:themeShade="80"/>
        </w:rPr>
        <w:t xml:space="preserve"> </w:t>
      </w:r>
      <w:r w:rsidR="00730911" w:rsidRPr="13B78135">
        <w:rPr>
          <w:rFonts w:ascii="Century Gothic" w:eastAsia="Century Gothic" w:hAnsi="Century Gothic" w:cs="Century Gothic"/>
          <w:color w:val="1F3864" w:themeColor="accent5" w:themeShade="80"/>
        </w:rPr>
        <w:t>202</w:t>
      </w:r>
      <w:r w:rsidR="69B13390" w:rsidRPr="13B78135">
        <w:rPr>
          <w:rFonts w:ascii="Century Gothic" w:eastAsia="Century Gothic" w:hAnsi="Century Gothic" w:cs="Century Gothic"/>
          <w:color w:val="1F3864" w:themeColor="accent5" w:themeShade="80"/>
        </w:rPr>
        <w:t>6</w:t>
      </w:r>
    </w:p>
    <w:p w14:paraId="336D8A70" w14:textId="65B78D2B" w:rsidR="00B02D70" w:rsidRPr="00F5183A" w:rsidRDefault="00C040B6"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r w:rsidRPr="1436986D">
        <w:rPr>
          <w:rFonts w:ascii="Century Gothic" w:eastAsia="Century Gothic" w:hAnsi="Century Gothic" w:cs="Century Gothic"/>
          <w:color w:val="1F3864" w:themeColor="accent5" w:themeShade="80"/>
        </w:rPr>
        <w:t>Expiry</w:t>
      </w:r>
      <w:r w:rsidR="00B02D70" w:rsidRPr="1436986D">
        <w:rPr>
          <w:rFonts w:ascii="Century Gothic" w:eastAsia="Century Gothic" w:hAnsi="Century Gothic" w:cs="Century Gothic"/>
          <w:color w:val="1F3864" w:themeColor="accent5" w:themeShade="80"/>
        </w:rPr>
        <w:t xml:space="preserve"> Date</w:t>
      </w:r>
      <w:r w:rsidR="4FC2EFE0" w:rsidRPr="1436986D">
        <w:rPr>
          <w:rFonts w:ascii="Century Gothic" w:eastAsia="Century Gothic" w:hAnsi="Century Gothic" w:cs="Century Gothic"/>
          <w:color w:val="1F3864" w:themeColor="accent5" w:themeShade="80"/>
        </w:rPr>
        <w:t xml:space="preserve"> (Next Review Date)</w:t>
      </w:r>
      <w:r w:rsidR="00B02D70" w:rsidRPr="1436986D">
        <w:rPr>
          <w:rFonts w:ascii="Century Gothic" w:eastAsia="Century Gothic" w:hAnsi="Century Gothic" w:cs="Century Gothic"/>
          <w:color w:val="1F3864" w:themeColor="accent5" w:themeShade="80"/>
        </w:rPr>
        <w:t>:</w:t>
      </w:r>
      <w:r>
        <w:tab/>
      </w:r>
      <w:r w:rsidR="7A21355A" w:rsidRPr="1436986D">
        <w:rPr>
          <w:rFonts w:ascii="Century Gothic" w:eastAsia="Century Gothic" w:hAnsi="Century Gothic" w:cs="Century Gothic"/>
          <w:color w:val="1F3864" w:themeColor="accent5" w:themeShade="80"/>
        </w:rPr>
        <w:t>October 2026</w:t>
      </w:r>
    </w:p>
    <w:p w14:paraId="39BBDED3" w14:textId="18AE46EE" w:rsidR="1436986D" w:rsidRDefault="1436986D"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5A0CCBCD" w14:textId="4DCB4BA7" w:rsidR="1436986D" w:rsidRDefault="1436986D"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584C53A5" w14:textId="24B2B6A3" w:rsidR="1436986D" w:rsidRDefault="1436986D"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6F2FCBBB" w14:textId="13E48A65" w:rsidR="1436986D" w:rsidRDefault="1436986D"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0B6C56A8" w14:textId="00AEF02C" w:rsidR="1436986D" w:rsidRDefault="1436986D" w:rsidP="1436986D">
      <w:pPr>
        <w:tabs>
          <w:tab w:val="left" w:pos="4536"/>
        </w:tabs>
        <w:spacing w:line="360" w:lineRule="auto"/>
        <w:ind w:left="4536" w:hanging="4536"/>
        <w:jc w:val="both"/>
        <w:rPr>
          <w:rFonts w:ascii="Century Gothic" w:eastAsia="Century Gothic" w:hAnsi="Century Gothic" w:cs="Century Gothic"/>
          <w:color w:val="1F3864" w:themeColor="accent5" w:themeShade="80"/>
        </w:rPr>
      </w:pPr>
    </w:p>
    <w:p w14:paraId="4669AAF8" w14:textId="48552141" w:rsidR="00231125" w:rsidRPr="00F5183A" w:rsidRDefault="00231125" w:rsidP="1436986D">
      <w:pPr>
        <w:tabs>
          <w:tab w:val="left" w:pos="2835"/>
        </w:tabs>
        <w:spacing w:line="360" w:lineRule="auto"/>
        <w:jc w:val="both"/>
        <w:rPr>
          <w:rFonts w:ascii="Century Gothic" w:eastAsia="Century Gothic" w:hAnsi="Century Gothic" w:cs="Century Gothic"/>
          <w:color w:val="1F3864" w:themeColor="accent5" w:themeShade="80"/>
        </w:rPr>
      </w:pPr>
      <w:r w:rsidRPr="1436986D">
        <w:rPr>
          <w:rFonts w:ascii="Century Gothic" w:eastAsia="Century Gothic" w:hAnsi="Century Gothic" w:cs="Century Gothic"/>
          <w:color w:val="1F3864" w:themeColor="accent5" w:themeShade="80"/>
        </w:rPr>
        <w:t>Date:</w:t>
      </w:r>
      <w:r>
        <w:tab/>
      </w:r>
      <w:r w:rsidR="675B5AEA" w:rsidRPr="1436986D">
        <w:rPr>
          <w:rFonts w:ascii="Century Gothic" w:eastAsia="Century Gothic" w:hAnsi="Century Gothic" w:cs="Century Gothic"/>
          <w:color w:val="1F3864" w:themeColor="accent5" w:themeShade="80"/>
        </w:rPr>
        <w:t>October 2025</w:t>
      </w:r>
    </w:p>
    <w:p w14:paraId="5ED0CFD2" w14:textId="66A08DA4" w:rsidR="00231125" w:rsidRPr="00F5183A" w:rsidRDefault="00231125" w:rsidP="13B78135">
      <w:pPr>
        <w:tabs>
          <w:tab w:val="left" w:pos="2835"/>
        </w:tabs>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Originator:</w:t>
      </w:r>
      <w:r>
        <w:tab/>
      </w:r>
      <w:r w:rsidRPr="00F44027">
        <w:rPr>
          <w:rFonts w:ascii="Century Gothic" w:eastAsia="Century Gothic" w:hAnsi="Century Gothic" w:cs="Century Gothic"/>
          <w:color w:val="1F3864" w:themeColor="accent5" w:themeShade="80"/>
        </w:rPr>
        <w:t>Head of Higher Education</w:t>
      </w:r>
      <w:r w:rsidR="0067378F" w:rsidRPr="00F44027">
        <w:rPr>
          <w:rFonts w:ascii="Century Gothic" w:eastAsia="Century Gothic" w:hAnsi="Century Gothic" w:cs="Century Gothic"/>
          <w:color w:val="1F3864" w:themeColor="accent5" w:themeShade="80"/>
        </w:rPr>
        <w:t xml:space="preserve"> Quality Assurance</w:t>
      </w:r>
    </w:p>
    <w:p w14:paraId="0BC1A26E" w14:textId="77777777" w:rsidR="00231125" w:rsidRPr="00F5183A" w:rsidRDefault="00231125" w:rsidP="13B78135">
      <w:pPr>
        <w:tabs>
          <w:tab w:val="left" w:pos="2835"/>
        </w:tabs>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Area:</w:t>
      </w:r>
      <w:r>
        <w:tab/>
      </w:r>
      <w:r w:rsidRPr="13B78135">
        <w:rPr>
          <w:rFonts w:ascii="Century Gothic" w:eastAsia="Century Gothic" w:hAnsi="Century Gothic" w:cs="Century Gothic"/>
          <w:color w:val="1F3864" w:themeColor="accent5" w:themeShade="80"/>
        </w:rPr>
        <w:t>Higher Education</w:t>
      </w:r>
    </w:p>
    <w:p w14:paraId="2030ABF0" w14:textId="7B190FD5" w:rsidR="00143CD0" w:rsidRPr="00F5183A" w:rsidRDefault="53FD6BD7" w:rsidP="13B78135">
      <w:pPr>
        <w:spacing w:line="360" w:lineRule="auto"/>
        <w:rPr>
          <w:rFonts w:ascii="Century Gothic" w:eastAsia="Century Gothic" w:hAnsi="Century Gothic" w:cs="Century Gothic"/>
          <w:color w:val="1F3864" w:themeColor="accent5" w:themeShade="80"/>
        </w:rPr>
      </w:pPr>
      <w:r>
        <w:rPr>
          <w:noProof/>
        </w:rPr>
        <w:drawing>
          <wp:inline distT="0" distB="0" distL="0" distR="0" wp14:anchorId="7F84E759" wp14:editId="02B4421A">
            <wp:extent cx="5724525" cy="381000"/>
            <wp:effectExtent l="0" t="0" r="0" b="0"/>
            <wp:docPr id="1141305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05458"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143CD0" w:rsidRPr="13B78135">
        <w:rPr>
          <w:rFonts w:ascii="Century Gothic" w:eastAsia="Century Gothic" w:hAnsi="Century Gothic" w:cs="Century Gothic"/>
          <w:color w:val="1F3864" w:themeColor="accent5" w:themeShade="80"/>
        </w:rPr>
        <w:t>Once printed, this is an uncontrolled document. Refer to Policy Portal for latest version.</w:t>
      </w:r>
    </w:p>
    <w:p w14:paraId="23C219C2" w14:textId="16C46E6F" w:rsidR="00D1347C" w:rsidRPr="00F5183A" w:rsidRDefault="00D1347C" w:rsidP="13B78135">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13B78135">
        <w:rPr>
          <w:rFonts w:ascii="Century Gothic" w:eastAsia="Century Gothic" w:hAnsi="Century Gothic" w:cs="Century Gothic"/>
          <w:color w:val="1F3864" w:themeColor="accent5" w:themeShade="80"/>
        </w:rPr>
        <w:lastRenderedPageBreak/>
        <w:t>Policy Accountability and Implementation</w:t>
      </w:r>
    </w:p>
    <w:p w14:paraId="16EF1882" w14:textId="6356A2FB" w:rsidR="003D432E" w:rsidRPr="00F5183A" w:rsidRDefault="003D432E"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Title:</w:t>
      </w:r>
      <w:r>
        <w:tab/>
      </w:r>
      <w:r w:rsidRPr="13B78135">
        <w:rPr>
          <w:rFonts w:ascii="Century Gothic" w:eastAsia="Century Gothic" w:hAnsi="Century Gothic" w:cs="Century Gothic"/>
          <w:color w:val="1F3864" w:themeColor="accent5" w:themeShade="80"/>
        </w:rPr>
        <w:t xml:space="preserve">HE </w:t>
      </w:r>
      <w:r w:rsidR="00DB3A6A" w:rsidRPr="13B78135">
        <w:rPr>
          <w:rFonts w:ascii="Century Gothic" w:eastAsia="Century Gothic" w:hAnsi="Century Gothic" w:cs="Century Gothic"/>
          <w:color w:val="1F3864" w:themeColor="accent5" w:themeShade="80"/>
        </w:rPr>
        <w:t>Recognition of Prior Learning Policy</w:t>
      </w:r>
    </w:p>
    <w:p w14:paraId="6D8BEB58" w14:textId="53F57587" w:rsidR="003D432E" w:rsidRPr="00F5183A" w:rsidRDefault="003D432E"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Author / Reviewers:</w:t>
      </w:r>
      <w:r>
        <w:tab/>
      </w:r>
      <w:r w:rsidRPr="13B78135">
        <w:rPr>
          <w:rFonts w:ascii="Century Gothic" w:eastAsia="Century Gothic" w:hAnsi="Century Gothic" w:cs="Century Gothic"/>
          <w:color w:val="1F3864" w:themeColor="accent5" w:themeShade="80"/>
        </w:rPr>
        <w:t>Head of Higher Education, Director of Quality Compliance</w:t>
      </w:r>
    </w:p>
    <w:p w14:paraId="2BD0910C" w14:textId="5696498E" w:rsidR="003D432E" w:rsidRPr="00F5183A" w:rsidRDefault="003D432E"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Implementation:</w:t>
      </w:r>
      <w:r>
        <w:tab/>
      </w:r>
      <w:r w:rsidRPr="13B78135">
        <w:rPr>
          <w:rFonts w:ascii="Century Gothic" w:eastAsia="Century Gothic" w:hAnsi="Century Gothic" w:cs="Century Gothic"/>
          <w:color w:val="1F3864" w:themeColor="accent5" w:themeShade="80"/>
        </w:rPr>
        <w:t>Head of Higher Education</w:t>
      </w:r>
    </w:p>
    <w:p w14:paraId="7B59396B" w14:textId="70E8CF5E" w:rsidR="003D432E" w:rsidRPr="00F5183A" w:rsidRDefault="003D432E"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Monitoring and Compliance:</w:t>
      </w:r>
      <w:r>
        <w:tab/>
      </w:r>
      <w:r w:rsidRPr="13B78135">
        <w:rPr>
          <w:rFonts w:ascii="Century Gothic" w:eastAsia="Century Gothic" w:hAnsi="Century Gothic" w:cs="Century Gothic"/>
          <w:color w:val="1F3864" w:themeColor="accent5" w:themeShade="80"/>
        </w:rPr>
        <w:t>Head of Higher Education</w:t>
      </w:r>
      <w:r w:rsidR="0067378F">
        <w:rPr>
          <w:rFonts w:ascii="Century Gothic" w:eastAsia="Century Gothic" w:hAnsi="Century Gothic" w:cs="Century Gothic"/>
          <w:color w:val="1F3864" w:themeColor="accent5" w:themeShade="80"/>
        </w:rPr>
        <w:t xml:space="preserve"> </w:t>
      </w:r>
      <w:r w:rsidR="0067378F" w:rsidRPr="00F44027">
        <w:rPr>
          <w:rFonts w:ascii="Century Gothic" w:eastAsia="Century Gothic" w:hAnsi="Century Gothic" w:cs="Century Gothic"/>
          <w:color w:val="1F3864" w:themeColor="accent5" w:themeShade="80"/>
        </w:rPr>
        <w:t>Quality Assurance</w:t>
      </w:r>
      <w:r w:rsidRPr="00F44027">
        <w:rPr>
          <w:rFonts w:ascii="Century Gothic" w:eastAsia="Century Gothic" w:hAnsi="Century Gothic" w:cs="Century Gothic"/>
          <w:color w:val="1F3864" w:themeColor="accent5" w:themeShade="80"/>
        </w:rPr>
        <w:t>,</w:t>
      </w:r>
      <w:r w:rsidRPr="13B78135">
        <w:rPr>
          <w:rFonts w:ascii="Century Gothic" w:eastAsia="Century Gothic" w:hAnsi="Century Gothic" w:cs="Century Gothic"/>
          <w:color w:val="1F3864" w:themeColor="accent5" w:themeShade="80"/>
        </w:rPr>
        <w:t xml:space="preserve"> </w:t>
      </w:r>
    </w:p>
    <w:p w14:paraId="28FCC9B0" w14:textId="772863CC" w:rsidR="003D432E" w:rsidRDefault="003D432E"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Review Timeline:</w:t>
      </w:r>
      <w:r>
        <w:tab/>
      </w:r>
      <w:r w:rsidRPr="13B78135">
        <w:rPr>
          <w:rFonts w:ascii="Century Gothic" w:eastAsia="Century Gothic" w:hAnsi="Century Gothic" w:cs="Century Gothic"/>
          <w:color w:val="1F3864" w:themeColor="accent5" w:themeShade="80"/>
        </w:rPr>
        <w:t>Annually</w:t>
      </w:r>
    </w:p>
    <w:p w14:paraId="77F2CBA9" w14:textId="77777777" w:rsidR="00E51A0F" w:rsidRDefault="001B3E37" w:rsidP="13B78135">
      <w:pPr>
        <w:tabs>
          <w:tab w:val="left" w:pos="4536"/>
        </w:tabs>
        <w:spacing w:line="360" w:lineRule="auto"/>
        <w:ind w:left="4536" w:hanging="4536"/>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Synopsis:</w:t>
      </w:r>
    </w:p>
    <w:p w14:paraId="63899167" w14:textId="34F08727" w:rsidR="001B3E37" w:rsidRPr="00F5183A" w:rsidRDefault="616F83D3" w:rsidP="13B78135">
      <w:p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Derby College Group (</w:t>
      </w:r>
      <w:r w:rsidR="1838FCC2" w:rsidRPr="13B78135">
        <w:rPr>
          <w:rFonts w:ascii="Century Gothic" w:eastAsia="Century Gothic" w:hAnsi="Century Gothic" w:cs="Century Gothic"/>
          <w:color w:val="1F3864" w:themeColor="accent5" w:themeShade="80"/>
        </w:rPr>
        <w:t>DCG</w:t>
      </w:r>
      <w:r w:rsidR="6CEA0297" w:rsidRPr="13B78135">
        <w:rPr>
          <w:rFonts w:ascii="Century Gothic" w:eastAsia="Century Gothic" w:hAnsi="Century Gothic" w:cs="Century Gothic"/>
          <w:color w:val="1F3864" w:themeColor="accent5" w:themeShade="80"/>
        </w:rPr>
        <w:t>)</w:t>
      </w:r>
      <w:r w:rsidR="00E51A0F" w:rsidRPr="13B78135">
        <w:rPr>
          <w:rFonts w:ascii="Century Gothic" w:eastAsia="Century Gothic" w:hAnsi="Century Gothic" w:cs="Century Gothic"/>
          <w:color w:val="1F3864" w:themeColor="accent5" w:themeShade="80"/>
        </w:rPr>
        <w:t xml:space="preserve">’s provision for </w:t>
      </w:r>
      <w:r w:rsidR="00E51A0F" w:rsidRPr="00F44027">
        <w:rPr>
          <w:rFonts w:ascii="Century Gothic" w:eastAsia="Century Gothic" w:hAnsi="Century Gothic" w:cs="Century Gothic"/>
          <w:color w:val="1F3864" w:themeColor="accent5" w:themeShade="80"/>
        </w:rPr>
        <w:t>R</w:t>
      </w:r>
      <w:r w:rsidR="0067378F" w:rsidRPr="00F44027">
        <w:rPr>
          <w:rFonts w:ascii="Century Gothic" w:eastAsia="Century Gothic" w:hAnsi="Century Gothic" w:cs="Century Gothic"/>
          <w:color w:val="1F3864" w:themeColor="accent5" w:themeShade="80"/>
        </w:rPr>
        <w:t>ecognition of Prior Learning (R</w:t>
      </w:r>
      <w:r w:rsidR="00E51A0F" w:rsidRPr="00F44027">
        <w:rPr>
          <w:rFonts w:ascii="Century Gothic" w:eastAsia="Century Gothic" w:hAnsi="Century Gothic" w:cs="Century Gothic"/>
          <w:color w:val="1F3864" w:themeColor="accent5" w:themeShade="80"/>
        </w:rPr>
        <w:t>PL</w:t>
      </w:r>
      <w:r w:rsidR="0067378F" w:rsidRPr="00F44027">
        <w:rPr>
          <w:rFonts w:ascii="Century Gothic" w:eastAsia="Century Gothic" w:hAnsi="Century Gothic" w:cs="Century Gothic"/>
          <w:color w:val="1F3864" w:themeColor="accent5" w:themeShade="80"/>
        </w:rPr>
        <w:t>)</w:t>
      </w:r>
      <w:r w:rsidR="00E51A0F" w:rsidRPr="13B78135">
        <w:rPr>
          <w:rFonts w:ascii="Century Gothic" w:eastAsia="Century Gothic" w:hAnsi="Century Gothic" w:cs="Century Gothic"/>
          <w:color w:val="1F3864" w:themeColor="accent5" w:themeShade="80"/>
        </w:rPr>
        <w:t xml:space="preserve"> seeks to ensure that applicants are admitted to the highest level of award for which they are qualified and for which they wish to apply, and that they are awarded the maximum amount of relevant credit to which they are entitled by virtue of their prior learning achievements. These principles apply equally to pre-entry, post-entry or credit transfer applications </w:t>
      </w:r>
    </w:p>
    <w:p w14:paraId="68D5B2E8" w14:textId="7FC118A8" w:rsidR="00B92F73" w:rsidRPr="00F5183A" w:rsidRDefault="00121FD1" w:rsidP="13B78135">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Policy Classification</w:t>
      </w:r>
      <w:r w:rsidR="00463F67" w:rsidRPr="13B78135">
        <w:rPr>
          <w:rFonts w:ascii="Century Gothic" w:eastAsia="Century Gothic" w:hAnsi="Century Gothic" w:cs="Century Gothic"/>
          <w:color w:val="1F3864" w:themeColor="accent5" w:themeShade="80"/>
        </w:rPr>
        <w:t xml:space="preserve"> and Publication</w:t>
      </w:r>
    </w:p>
    <w:p w14:paraId="08685C16" w14:textId="77777777" w:rsidR="0052703A" w:rsidRPr="00F5183A" w:rsidRDefault="0052703A" w:rsidP="13B78135">
      <w:pPr>
        <w:pStyle w:val="Heading2"/>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Classification</w:t>
      </w:r>
    </w:p>
    <w:p w14:paraId="26A160FB" w14:textId="77777777" w:rsidR="0052703A" w:rsidRPr="00F5183A" w:rsidRDefault="0052703A" w:rsidP="13B78135">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Not Classified (NA)</w:t>
      </w:r>
    </w:p>
    <w:p w14:paraId="18123E60" w14:textId="77777777" w:rsidR="0052703A" w:rsidRPr="00F5183A" w:rsidRDefault="0052703A" w:rsidP="13B78135">
      <w:pPr>
        <w:pStyle w:val="Heading2"/>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Publication</w:t>
      </w:r>
    </w:p>
    <w:p w14:paraId="0EEF9D67" w14:textId="77777777" w:rsidR="0052703A" w:rsidRPr="00F5183A" w:rsidRDefault="0052703A" w:rsidP="13B78135">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Intranet – Policy portal</w:t>
      </w:r>
    </w:p>
    <w:p w14:paraId="433C41F6" w14:textId="46571910" w:rsidR="007D5790" w:rsidRPr="00F5183A" w:rsidRDefault="0052703A" w:rsidP="13B78135">
      <w:pPr>
        <w:pStyle w:val="ListParagraph"/>
        <w:numPr>
          <w:ilvl w:val="0"/>
          <w:numId w:val="7"/>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Website – HE page</w:t>
      </w:r>
    </w:p>
    <w:p w14:paraId="7ED74F10" w14:textId="19F347A7" w:rsidR="007D5790" w:rsidRPr="00D743FA" w:rsidRDefault="007D5790" w:rsidP="13B78135">
      <w:pPr>
        <w:pStyle w:val="Heading2"/>
        <w:spacing w:line="360" w:lineRule="auto"/>
        <w:rPr>
          <w:rFonts w:ascii="Century Gothic" w:eastAsia="Century Gothic" w:hAnsi="Century Gothic" w:cs="Century Gothic"/>
          <w:b w:val="0"/>
          <w:bCs w:val="0"/>
          <w:color w:val="1F3864" w:themeColor="accent5" w:themeShade="80"/>
        </w:rPr>
      </w:pPr>
      <w:r w:rsidRPr="13B78135">
        <w:rPr>
          <w:rFonts w:ascii="Century Gothic" w:eastAsia="Century Gothic" w:hAnsi="Century Gothic" w:cs="Century Gothic"/>
          <w:color w:val="1F3864" w:themeColor="accent5" w:themeShade="80"/>
        </w:rPr>
        <w:t>Empowering/related legislative and/or authoritative references:</w:t>
      </w:r>
      <w:r w:rsidR="00D743FA" w:rsidRPr="13B78135">
        <w:rPr>
          <w:rFonts w:ascii="Century Gothic" w:eastAsia="Century Gothic" w:hAnsi="Century Gothic" w:cs="Century Gothic"/>
          <w:color w:val="1F3864" w:themeColor="accent5" w:themeShade="80"/>
        </w:rPr>
        <w:t xml:space="preserve"> </w:t>
      </w:r>
      <w:r w:rsidR="00D743FA" w:rsidRPr="13B78135">
        <w:rPr>
          <w:rFonts w:ascii="Century Gothic" w:eastAsia="Century Gothic" w:hAnsi="Century Gothic" w:cs="Century Gothic"/>
          <w:b w:val="0"/>
          <w:bCs w:val="0"/>
          <w:color w:val="1F3864" w:themeColor="accent5" w:themeShade="80"/>
        </w:rPr>
        <w:t>None</w:t>
      </w:r>
    </w:p>
    <w:p w14:paraId="206F7FE3" w14:textId="3F329BFC" w:rsidR="007D5790" w:rsidRPr="00F5183A" w:rsidRDefault="007D5790" w:rsidP="13B78135">
      <w:pPr>
        <w:spacing w:line="360" w:lineRule="auto"/>
        <w:rPr>
          <w:rFonts w:ascii="Century Gothic" w:eastAsia="Century Gothic" w:hAnsi="Century Gothic" w:cs="Century Gothic"/>
          <w:color w:val="1F3864" w:themeColor="accent5" w:themeShade="80"/>
          <w:sz w:val="20"/>
        </w:rPr>
      </w:pPr>
    </w:p>
    <w:p w14:paraId="0A485F36" w14:textId="7A4B3735" w:rsidR="00042912" w:rsidRPr="00F5183A" w:rsidRDefault="00127654" w:rsidP="13B78135">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Periodic Policy Review / Change History</w:t>
      </w: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042912" w:rsidRPr="00F5183A" w14:paraId="0C4DBDDF" w14:textId="77777777" w:rsidTr="0ED92A5A">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15794986" w14:textId="77777777" w:rsidR="00042912" w:rsidRPr="00F5183A" w:rsidRDefault="00042912" w:rsidP="13B78135">
            <w:pPr>
              <w:spacing w:line="360" w:lineRule="auto"/>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Version</w:t>
            </w:r>
          </w:p>
          <w:p w14:paraId="69066847" w14:textId="77777777" w:rsidR="00042912" w:rsidRPr="00F5183A" w:rsidRDefault="00042912" w:rsidP="13B78135">
            <w:pPr>
              <w:spacing w:line="360" w:lineRule="auto"/>
              <w:jc w:val="right"/>
              <w:rPr>
                <w:rFonts w:ascii="Century Gothic" w:eastAsia="Century Gothic" w:hAnsi="Century Gothic" w:cs="Century Gothic"/>
                <w:b w:val="0"/>
                <w:bCs w:val="0"/>
                <w:color w:val="1F3864" w:themeColor="accent5" w:themeShade="80"/>
                <w:sz w:val="18"/>
                <w:szCs w:val="18"/>
              </w:rPr>
            </w:pPr>
          </w:p>
          <w:p w14:paraId="35DB5A63" w14:textId="77777777" w:rsidR="00042912" w:rsidRPr="00F5183A" w:rsidRDefault="00042912" w:rsidP="13B78135">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7566C8" w14:textId="3E3924B2"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Reviewe</w:t>
            </w:r>
            <w:r w:rsidR="00586F5C" w:rsidRPr="13B78135">
              <w:rPr>
                <w:rFonts w:ascii="Century Gothic" w:eastAsia="Century Gothic" w:hAnsi="Century Gothic" w:cs="Century Gothic"/>
                <w:color w:val="1F3864" w:themeColor="accent5" w:themeShade="80"/>
                <w:sz w:val="18"/>
                <w:szCs w:val="18"/>
              </w:rPr>
              <w:t xml:space="preserve">d / </w:t>
            </w:r>
            <w:r w:rsidRPr="13B78135">
              <w:rPr>
                <w:rFonts w:ascii="Century Gothic" w:eastAsia="Century Gothic" w:hAnsi="Century Gothic" w:cs="Century Gothic"/>
                <w:color w:val="1F3864" w:themeColor="accent5" w:themeShade="80"/>
                <w:sz w:val="18"/>
                <w:szCs w:val="18"/>
              </w:rPr>
              <w:t>Modified b</w:t>
            </w:r>
            <w:r w:rsidR="00586F5C" w:rsidRPr="13B78135">
              <w:rPr>
                <w:rFonts w:ascii="Century Gothic" w:eastAsia="Century Gothic" w:hAnsi="Century Gothic" w:cs="Century Gothic"/>
                <w:color w:val="1F3864" w:themeColor="accent5" w:themeShade="80"/>
                <w:sz w:val="18"/>
                <w:szCs w:val="18"/>
              </w:rPr>
              <w:t>y:</w:t>
            </w:r>
          </w:p>
          <w:p w14:paraId="3FF4EFEE" w14:textId="77777777"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7B4C9BD" w14:textId="7D63B8C1"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6DAC4D98" w14:textId="77777777"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629BCD4" w14:textId="77777777"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 xml:space="preserve">Review / Meeting </w:t>
            </w:r>
          </w:p>
          <w:p w14:paraId="0A3DC731" w14:textId="77777777"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Date/s</w:t>
            </w:r>
          </w:p>
          <w:p w14:paraId="7F0F62C9" w14:textId="77777777" w:rsidR="00042912" w:rsidRPr="00F5183A" w:rsidRDefault="00042912" w:rsidP="13B78135">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72610F" w:rsidRPr="00F5183A" w14:paraId="5CC6BACF" w14:textId="77777777" w:rsidTr="0ED92A5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9D0E95B" w14:textId="26EDF98F" w:rsidR="0072610F" w:rsidRPr="00E51A0F" w:rsidRDefault="0072610F" w:rsidP="13B78135">
            <w:pPr>
              <w:spacing w:line="360" w:lineRule="auto"/>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b w:val="0"/>
                <w:bCs w:val="0"/>
                <w:color w:val="1F3864" w:themeColor="accent5" w:themeShade="80"/>
                <w:sz w:val="18"/>
                <w:szCs w:val="18"/>
              </w:rPr>
              <w:t>V1</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E952BB7" w14:textId="128BB18D" w:rsidR="0072610F" w:rsidRPr="00E51A0F" w:rsidRDefault="0072610F"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Director of Quality and 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BBAD548" w14:textId="14273675" w:rsidR="0072610F" w:rsidRPr="00E51A0F" w:rsidRDefault="0072610F"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Agreed policy</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952823" w14:textId="3F60DDE0" w:rsidR="0072610F" w:rsidRPr="00E51A0F" w:rsidRDefault="0072610F"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 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A319FA7" w14:textId="022CBD22" w:rsidR="0072610F" w:rsidRPr="00E51A0F" w:rsidRDefault="0072610F"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July 2019</w:t>
            </w:r>
          </w:p>
        </w:tc>
      </w:tr>
      <w:tr w:rsidR="00042912" w:rsidRPr="00F5183A" w14:paraId="419E95CA" w14:textId="77777777" w:rsidTr="0ED92A5A">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EF97BD4" w14:textId="417ACD22" w:rsidR="00042912" w:rsidRPr="00E51A0F" w:rsidRDefault="00E51A0F" w:rsidP="13B78135">
            <w:pPr>
              <w:spacing w:line="360" w:lineRule="auto"/>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b w:val="0"/>
                <w:bCs w:val="0"/>
                <w:color w:val="1F3864" w:themeColor="accent5" w:themeShade="80"/>
                <w:sz w:val="18"/>
                <w:szCs w:val="18"/>
              </w:rPr>
              <w:lastRenderedPageBreak/>
              <w:t>V2</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4104BAE" w14:textId="3C2C541A" w:rsidR="00042912" w:rsidRPr="00E51A0F" w:rsidRDefault="00F427E6"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Director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10343FFC" w14:textId="18AFA82B" w:rsidR="00042912" w:rsidRPr="00E51A0F" w:rsidRDefault="00F427E6"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 xml:space="preserve">Policy review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F875DFF" w14:textId="71DEA88A" w:rsidR="00042912" w:rsidRPr="00E51A0F" w:rsidRDefault="00F427E6"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 xml:space="preserve">HE Academic Board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72DC2FF" w14:textId="0DA669A8" w:rsidR="00042912" w:rsidRPr="00E51A0F" w:rsidRDefault="000E76BB"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November 2020</w:t>
            </w:r>
          </w:p>
        </w:tc>
      </w:tr>
      <w:tr w:rsidR="007D5790" w:rsidRPr="00F5183A" w14:paraId="3DABB722" w14:textId="77777777" w:rsidTr="0ED92A5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59AD303" w14:textId="5E29E4CA" w:rsidR="007D5790" w:rsidRPr="00D50BE0" w:rsidRDefault="00004461" w:rsidP="13B78135">
            <w:pPr>
              <w:spacing w:line="360" w:lineRule="auto"/>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b w:val="0"/>
                <w:bCs w:val="0"/>
                <w:color w:val="1F3864" w:themeColor="accent5" w:themeShade="80"/>
                <w:sz w:val="18"/>
                <w:szCs w:val="18"/>
              </w:rPr>
              <w:t>V3</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F9DE2B3" w14:textId="257547CF" w:rsidR="007D5790" w:rsidRPr="00D50BE0" w:rsidRDefault="00004461"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Director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70EA0E1" w14:textId="30E6F1E7" w:rsidR="007D5790" w:rsidRPr="00D50BE0" w:rsidRDefault="00004461"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Policy Review</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73EA5E3" w14:textId="147785BF" w:rsidR="007D5790" w:rsidRPr="00D50BE0" w:rsidRDefault="00004461"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 Executive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6EE09D" w14:textId="2FD95587" w:rsidR="007D5790" w:rsidRPr="00D50BE0" w:rsidRDefault="00D743FA"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July</w:t>
            </w:r>
            <w:r w:rsidR="00004461" w:rsidRPr="13B78135">
              <w:rPr>
                <w:rFonts w:ascii="Century Gothic" w:eastAsia="Century Gothic" w:hAnsi="Century Gothic" w:cs="Century Gothic"/>
                <w:color w:val="1F3864" w:themeColor="accent5" w:themeShade="80"/>
                <w:sz w:val="18"/>
                <w:szCs w:val="18"/>
              </w:rPr>
              <w:t xml:space="preserve"> 2021</w:t>
            </w:r>
          </w:p>
        </w:tc>
      </w:tr>
      <w:tr w:rsidR="007D5790" w:rsidRPr="00F5183A" w14:paraId="133C0CA1" w14:textId="77777777" w:rsidTr="0ED92A5A">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66CEABB" w14:textId="5982051E" w:rsidR="007D5790" w:rsidRPr="00D50BE0" w:rsidRDefault="0BE5AAB6" w:rsidP="13B78135">
            <w:pPr>
              <w:spacing w:line="360" w:lineRule="auto"/>
              <w:rPr>
                <w:rFonts w:ascii="Century Gothic" w:eastAsia="Century Gothic" w:hAnsi="Century Gothic" w:cs="Century Gothic"/>
                <w:b w:val="0"/>
                <w:bCs w:val="0"/>
                <w:color w:val="1F3864" w:themeColor="accent5" w:themeShade="80"/>
                <w:sz w:val="18"/>
                <w:szCs w:val="18"/>
              </w:rPr>
            </w:pPr>
            <w:r w:rsidRPr="13B78135">
              <w:rPr>
                <w:rFonts w:ascii="Century Gothic" w:eastAsia="Century Gothic" w:hAnsi="Century Gothic" w:cs="Century Gothic"/>
                <w:b w:val="0"/>
                <w:bCs w:val="0"/>
                <w:color w:val="1F3864" w:themeColor="accent5" w:themeShade="80"/>
                <w:sz w:val="18"/>
                <w:szCs w:val="18"/>
              </w:rPr>
              <w:t>V4</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B75BE7B" w14:textId="6AD99E91" w:rsidR="007D5790" w:rsidRPr="00D50BE0" w:rsidRDefault="0BE5AAB6"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25FB6FF" w14:textId="2A95F63F" w:rsidR="007D5790" w:rsidRPr="00D50BE0" w:rsidRDefault="0BE5AAB6"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Minor amendments made to job roles to reflect changes in job titles</w:t>
            </w:r>
          </w:p>
          <w:p w14:paraId="23E15296" w14:textId="24842235" w:rsidR="72856D27" w:rsidRPr="00D50BE0" w:rsidRDefault="72856D27"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 xml:space="preserve">Removal of paragraph 5.2 under responsibilities </w:t>
            </w:r>
          </w:p>
          <w:p w14:paraId="2F195784" w14:textId="4B3E53DF" w:rsidR="007D5790" w:rsidRPr="00D50BE0" w:rsidRDefault="007D5790"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A3F2CD4" w14:textId="3920BFF1" w:rsidR="007D5790" w:rsidRPr="00D50BE0" w:rsidRDefault="44EA2E2A"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Head of HE</w:t>
            </w:r>
            <w:r w:rsidR="7A1B68AF" w:rsidRPr="13B78135">
              <w:rPr>
                <w:rFonts w:ascii="Century Gothic" w:eastAsia="Century Gothic" w:hAnsi="Century Gothic" w:cs="Century Gothic"/>
                <w:color w:val="1F3864" w:themeColor="accent5" w:themeShade="80"/>
                <w:sz w:val="18"/>
                <w:szCs w:val="18"/>
              </w:rPr>
              <w:t xml:space="preserv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4A7C4F6" w14:textId="3920BFF1" w:rsidR="007D5790" w:rsidRPr="00D50BE0" w:rsidRDefault="54FC607D"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May 2022</w:t>
            </w:r>
          </w:p>
        </w:tc>
      </w:tr>
      <w:tr w:rsidR="007D5790" w:rsidRPr="00F5183A" w14:paraId="39F53ED0" w14:textId="77777777" w:rsidTr="0ED92A5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6E8D1D1" w14:textId="15285EEC" w:rsidR="007D5790" w:rsidRPr="00E51A0F" w:rsidRDefault="008B06B5" w:rsidP="13B78135">
            <w:pPr>
              <w:spacing w:line="360" w:lineRule="auto"/>
              <w:rPr>
                <w:rFonts w:ascii="Century Gothic" w:eastAsia="Century Gothic" w:hAnsi="Century Gothic" w:cs="Century Gothic"/>
                <w:b w:val="0"/>
                <w:bCs w:val="0"/>
                <w:color w:val="1F3864" w:themeColor="accent5" w:themeShade="80"/>
              </w:rPr>
            </w:pPr>
            <w:r w:rsidRPr="13B78135">
              <w:rPr>
                <w:rFonts w:ascii="Century Gothic" w:eastAsia="Century Gothic" w:hAnsi="Century Gothic" w:cs="Century Gothic"/>
                <w:b w:val="0"/>
                <w:bCs w:val="0"/>
                <w:color w:val="1F3864" w:themeColor="accent5" w:themeShade="80"/>
              </w:rPr>
              <w:t xml:space="preserve">V5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CC62594" w14:textId="7A7396D1" w:rsidR="007D5790" w:rsidRPr="00403BE4" w:rsidRDefault="00403BE4"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Head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89C72C3" w14:textId="0D61B123" w:rsidR="007D5790" w:rsidRPr="00136073" w:rsidRDefault="00136073"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Reviewed and no amendments required</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4EB6E11" w14:textId="36C3B87D" w:rsidR="007D5790" w:rsidRPr="003D76FA" w:rsidRDefault="003D76FA"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To be ratified at HE Quality Standards Committee April 2023</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6EA6A1B" w14:textId="3E0A3FB8" w:rsidR="007D5790" w:rsidRPr="00C61C39" w:rsidRDefault="00C61C39"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April 2023</w:t>
            </w:r>
          </w:p>
        </w:tc>
      </w:tr>
      <w:tr w:rsidR="001D12E9" w:rsidRPr="00F5183A" w14:paraId="01663264" w14:textId="77777777" w:rsidTr="0ED92A5A">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F26D6C9" w14:textId="1BF2E464" w:rsidR="001D12E9" w:rsidRDefault="001D12E9" w:rsidP="13B78135">
            <w:pPr>
              <w:spacing w:line="360" w:lineRule="auto"/>
              <w:rPr>
                <w:rFonts w:ascii="Century Gothic" w:eastAsia="Century Gothic" w:hAnsi="Century Gothic" w:cs="Century Gothic"/>
                <w:color w:val="1F3864" w:themeColor="accent5" w:themeShade="80"/>
              </w:rPr>
            </w:pPr>
            <w:r w:rsidRPr="13B78135">
              <w:rPr>
                <w:rFonts w:ascii="Century Gothic" w:eastAsia="Century Gothic" w:hAnsi="Century Gothic" w:cs="Century Gothic"/>
                <w:b w:val="0"/>
                <w:bCs w:val="0"/>
                <w:color w:val="1F3864" w:themeColor="accent5" w:themeShade="80"/>
              </w:rPr>
              <w:t xml:space="preserve">V6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100AD04D" w14:textId="63569269" w:rsidR="001D12E9" w:rsidRPr="00403BE4" w:rsidRDefault="001D12E9"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Head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9E5CBCE" w14:textId="0B3BADC6" w:rsidR="001D12E9" w:rsidRPr="00136073" w:rsidRDefault="001D12E9"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Reviewed and no amendments required</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FC8494B" w14:textId="7331457E" w:rsidR="001D12E9" w:rsidRPr="003D76FA" w:rsidRDefault="001D12E9"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To be ratified at HE Quality Standards Committee April 2024</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1B0A992" w14:textId="7C4923F3" w:rsidR="001D12E9" w:rsidRPr="00C61C39" w:rsidRDefault="001D12E9" w:rsidP="13B78135">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April 2024</w:t>
            </w:r>
          </w:p>
        </w:tc>
      </w:tr>
      <w:tr w:rsidR="4953808B" w14:paraId="199BA8FC" w14:textId="77777777" w:rsidTr="0ED92A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B70AF94" w14:textId="043B532D" w:rsidR="5CB4B558" w:rsidRDefault="5CB4B558" w:rsidP="13B78135">
            <w:pPr>
              <w:spacing w:line="360" w:lineRule="auto"/>
              <w:rPr>
                <w:rFonts w:ascii="Century Gothic" w:eastAsia="Century Gothic" w:hAnsi="Century Gothic" w:cs="Century Gothic"/>
                <w:b w:val="0"/>
                <w:bCs w:val="0"/>
                <w:color w:val="1F3864" w:themeColor="accent5" w:themeShade="80"/>
              </w:rPr>
            </w:pPr>
            <w:r w:rsidRPr="13B78135">
              <w:rPr>
                <w:rFonts w:ascii="Century Gothic" w:eastAsia="Century Gothic" w:hAnsi="Century Gothic" w:cs="Century Gothic"/>
                <w:b w:val="0"/>
                <w:bCs w:val="0"/>
                <w:color w:val="1F3864" w:themeColor="accent5" w:themeShade="80"/>
              </w:rPr>
              <w:t xml:space="preserve">V7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F173B8A" w14:textId="3C4683E1" w:rsidR="5CB4B558" w:rsidRDefault="5CB4B558"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Head of HE Quality Assurance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F8D9EC7" w14:textId="4785F455" w:rsidR="5CB4B558" w:rsidRDefault="5CB4B558"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Policy Review-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22F3F748" w14:textId="4773CE0A" w:rsidR="5CB4B558" w:rsidRDefault="5CB4B558"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To be ratified at HE Quality Standards Committee October 2025</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ED2AC12" w14:textId="2BAADABC" w:rsidR="5CB4B558" w:rsidRDefault="5CB4B558" w:rsidP="13B78135">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3B78135">
              <w:rPr>
                <w:rFonts w:ascii="Century Gothic" w:eastAsia="Century Gothic" w:hAnsi="Century Gothic" w:cs="Century Gothic"/>
                <w:color w:val="1F3864" w:themeColor="accent5" w:themeShade="80"/>
                <w:sz w:val="18"/>
                <w:szCs w:val="18"/>
              </w:rPr>
              <w:t>October 2025</w:t>
            </w:r>
          </w:p>
        </w:tc>
      </w:tr>
      <w:tr w:rsidR="00F44027" w14:paraId="7023B6AC" w14:textId="77777777" w:rsidTr="0ED92A5A">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6EAC161" w14:textId="185387DC" w:rsidR="00F44027" w:rsidRPr="13B78135" w:rsidRDefault="00F44027" w:rsidP="00F44027">
            <w:pPr>
              <w:spacing w:line="360" w:lineRule="auto"/>
              <w:rPr>
                <w:rFonts w:ascii="Century Gothic" w:eastAsia="Century Gothic" w:hAnsi="Century Gothic" w:cs="Century Gothic"/>
                <w:color w:val="1F3864" w:themeColor="accent5" w:themeShade="80"/>
              </w:rPr>
            </w:pPr>
            <w:r>
              <w:rPr>
                <w:rFonts w:ascii="Century Gothic" w:eastAsia="Century Gothic" w:hAnsi="Century Gothic" w:cs="Century Gothic"/>
                <w:color w:val="1F3864" w:themeColor="accent5" w:themeShade="80"/>
                <w:sz w:val="16"/>
                <w:szCs w:val="16"/>
              </w:rPr>
              <w:t>V8</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7098925" w14:textId="5C2D035F" w:rsidR="00F44027" w:rsidRPr="13B78135" w:rsidRDefault="00F44027" w:rsidP="00F4402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3DF214B" w14:textId="45E73B23" w:rsidR="00F44027" w:rsidRPr="13B78135" w:rsidRDefault="00F44027" w:rsidP="00F4402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20CED59" w14:textId="52D48F92" w:rsidR="00F44027" w:rsidRPr="13B78135" w:rsidRDefault="00F44027" w:rsidP="00F4402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4FA4486" w14:textId="3F94B66C" w:rsidR="00F44027" w:rsidRPr="13B78135" w:rsidRDefault="00F44027" w:rsidP="00F4402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Pr>
                <w:rFonts w:ascii="Century Gothic" w:eastAsia="Century Gothic" w:hAnsi="Century Gothic" w:cs="Century Gothic"/>
                <w:color w:val="1F3864" w:themeColor="accent5" w:themeShade="80"/>
                <w:sz w:val="16"/>
                <w:szCs w:val="16"/>
              </w:rPr>
              <w:t>Next Review Feb 2026</w:t>
            </w:r>
          </w:p>
        </w:tc>
      </w:tr>
    </w:tbl>
    <w:p w14:paraId="60C521D4" w14:textId="3C894EE0" w:rsidR="00F668CD" w:rsidRPr="00F5183A" w:rsidRDefault="00F668CD" w:rsidP="13B78135">
      <w:pPr>
        <w:spacing w:line="360" w:lineRule="auto"/>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br w:type="page"/>
      </w:r>
    </w:p>
    <w:p w14:paraId="5BF602C3" w14:textId="77777777"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lastRenderedPageBreak/>
        <w:t>Policy Statement</w:t>
      </w:r>
    </w:p>
    <w:p w14:paraId="466E1496" w14:textId="77777777" w:rsidR="00B45D88" w:rsidRPr="00F5183A" w:rsidRDefault="00B45D88" w:rsidP="13B78135">
      <w:pPr>
        <w:spacing w:line="360" w:lineRule="auto"/>
        <w:jc w:val="both"/>
        <w:rPr>
          <w:rFonts w:ascii="Century Gothic" w:eastAsia="Century Gothic" w:hAnsi="Century Gothic" w:cs="Century Gothic"/>
          <w:color w:val="1F3864" w:themeColor="accent5" w:themeShade="80"/>
        </w:rPr>
      </w:pPr>
    </w:p>
    <w:p w14:paraId="0818A992" w14:textId="77777777" w:rsidR="00B45D88" w:rsidRPr="00F5183A" w:rsidRDefault="00B45D88" w:rsidP="13B78135">
      <w:pPr>
        <w:spacing w:line="360" w:lineRule="auto"/>
        <w:ind w:left="737" w:hanging="73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1.1</w:t>
      </w:r>
      <w:r>
        <w:tab/>
      </w:r>
      <w:r w:rsidRPr="13B78135">
        <w:rPr>
          <w:rFonts w:ascii="Century Gothic" w:eastAsia="Century Gothic" w:hAnsi="Century Gothic" w:cs="Century Gothic"/>
          <w:color w:val="1F3864" w:themeColor="accent5" w:themeShade="80"/>
        </w:rPr>
        <w:t>This policy aims to provide guidance and clarity to the students, staff, employers and professional, statutory and regulatory bodies who are involved in the Recognition of Prior Learning (RPL).</w:t>
      </w:r>
    </w:p>
    <w:p w14:paraId="352DE8CF" w14:textId="77777777" w:rsidR="00B45D88" w:rsidRPr="00F5183A" w:rsidRDefault="00B45D88" w:rsidP="13B78135">
      <w:pPr>
        <w:spacing w:line="360" w:lineRule="auto"/>
        <w:ind w:left="737" w:hanging="737"/>
        <w:jc w:val="both"/>
        <w:rPr>
          <w:rFonts w:ascii="Century Gothic" w:eastAsia="Century Gothic" w:hAnsi="Century Gothic" w:cs="Century Gothic"/>
          <w:color w:val="1F3864" w:themeColor="accent5" w:themeShade="80"/>
        </w:rPr>
      </w:pPr>
    </w:p>
    <w:p w14:paraId="3D490B77" w14:textId="5B748C7A" w:rsidR="00B45D88" w:rsidRPr="00F5183A" w:rsidRDefault="00B45D88" w:rsidP="13B78135">
      <w:pPr>
        <w:spacing w:line="360" w:lineRule="auto"/>
        <w:ind w:left="737" w:hanging="73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1.2</w:t>
      </w:r>
      <w:r>
        <w:tab/>
      </w:r>
      <w:r w:rsidR="34A13108" w:rsidRPr="13B78135">
        <w:rPr>
          <w:rFonts w:ascii="Century Gothic" w:eastAsia="Century Gothic" w:hAnsi="Century Gothic" w:cs="Century Gothic"/>
          <w:color w:val="1F3864" w:themeColor="accent5" w:themeShade="80"/>
        </w:rPr>
        <w:t>Derby College Group (DCG)’s</w:t>
      </w:r>
      <w:r w:rsidRPr="13B78135">
        <w:rPr>
          <w:rFonts w:ascii="Century Gothic" w:eastAsia="Century Gothic" w:hAnsi="Century Gothic" w:cs="Century Gothic"/>
          <w:color w:val="1F3864" w:themeColor="accent5" w:themeShade="80"/>
        </w:rPr>
        <w:t xml:space="preserve"> provision for RPL seeks to ensure that applicants are admitted to the highest level of award for which they are qualified and for which they wish to apply, and that they are awarded the maximum amount of relevant credit to which they are entitled by virtue of their prior learning achievements. These principles apply equally to pre-entry, post-entry or credit transfer applications </w:t>
      </w:r>
    </w:p>
    <w:p w14:paraId="67A7227F" w14:textId="77777777"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Definitions</w:t>
      </w:r>
    </w:p>
    <w:p w14:paraId="7A48B036" w14:textId="77777777" w:rsidR="008D3EFA" w:rsidRPr="00F5183A" w:rsidRDefault="008D3EFA" w:rsidP="13B78135">
      <w:pPr>
        <w:spacing w:line="360" w:lineRule="auto"/>
        <w:ind w:left="737" w:hanging="737"/>
        <w:jc w:val="both"/>
        <w:rPr>
          <w:rFonts w:ascii="Century Gothic" w:eastAsia="Century Gothic" w:hAnsi="Century Gothic" w:cs="Century Gothic"/>
          <w:color w:val="1F3864" w:themeColor="accent5" w:themeShade="80"/>
        </w:rPr>
      </w:pPr>
    </w:p>
    <w:p w14:paraId="519D0053" w14:textId="77777777" w:rsidR="008D3EFA" w:rsidRPr="00F5183A" w:rsidRDefault="008D3EFA" w:rsidP="13B78135">
      <w:pPr>
        <w:spacing w:line="360" w:lineRule="auto"/>
        <w:ind w:left="737" w:hanging="73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2.1</w:t>
      </w:r>
      <w:r>
        <w:tab/>
      </w:r>
      <w:r w:rsidRPr="13B78135">
        <w:rPr>
          <w:rFonts w:ascii="Century Gothic" w:eastAsia="Century Gothic" w:hAnsi="Century Gothic" w:cs="Century Gothic"/>
          <w:color w:val="1F3864" w:themeColor="accent5" w:themeShade="80"/>
        </w:rPr>
        <w:t>RPL is defined as a method of assessment, leading to the award of credit, that considers whether a student can demonstrate that they meet the assessment requirements for a module through knowledge, understanding or skills they already possess and do not need to develop through a programme of learning</w:t>
      </w:r>
      <w:r w:rsidRPr="13B78135">
        <w:rPr>
          <w:rFonts w:ascii="Century Gothic" w:eastAsia="Century Gothic" w:hAnsi="Century Gothic" w:cs="Century Gothic"/>
          <w:i/>
          <w:iCs/>
          <w:color w:val="1F3864" w:themeColor="accent5" w:themeShade="80"/>
        </w:rPr>
        <w:t>.</w:t>
      </w:r>
    </w:p>
    <w:p w14:paraId="0F2261F9" w14:textId="77777777" w:rsidR="008D3EFA" w:rsidRPr="00F5183A" w:rsidRDefault="008D3EFA" w:rsidP="13B78135">
      <w:pPr>
        <w:spacing w:line="360" w:lineRule="auto"/>
        <w:ind w:left="737" w:hanging="737"/>
        <w:jc w:val="both"/>
        <w:rPr>
          <w:rFonts w:ascii="Century Gothic" w:eastAsia="Century Gothic" w:hAnsi="Century Gothic" w:cs="Century Gothic"/>
          <w:color w:val="1F3864" w:themeColor="accent5" w:themeShade="80"/>
        </w:rPr>
      </w:pPr>
    </w:p>
    <w:p w14:paraId="35153D90" w14:textId="77777777" w:rsidR="008D3EFA" w:rsidRPr="00F5183A" w:rsidRDefault="008D3EFA" w:rsidP="13B78135">
      <w:pPr>
        <w:pStyle w:val="Default"/>
        <w:spacing w:line="360" w:lineRule="auto"/>
        <w:ind w:left="737" w:hanging="737"/>
        <w:jc w:val="both"/>
        <w:rPr>
          <w:rFonts w:ascii="Century Gothic" w:eastAsia="Century Gothic" w:hAnsi="Century Gothic" w:cs="Century Gothic"/>
          <w:b/>
          <w:bCs/>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2.2</w:t>
      </w:r>
      <w:r>
        <w:tab/>
      </w:r>
      <w:r w:rsidRPr="13B78135">
        <w:rPr>
          <w:rFonts w:ascii="Century Gothic" w:eastAsia="Century Gothic" w:hAnsi="Century Gothic" w:cs="Century Gothic"/>
          <w:color w:val="1F3864" w:themeColor="accent5" w:themeShade="80"/>
          <w:sz w:val="22"/>
          <w:szCs w:val="22"/>
        </w:rPr>
        <w:t>The types of RPL are as follows:</w:t>
      </w:r>
    </w:p>
    <w:p w14:paraId="0AE78852" w14:textId="77777777" w:rsidR="008D3EFA" w:rsidRPr="00F5183A" w:rsidRDefault="008D3EFA"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b/>
          <w:bCs/>
          <w:color w:val="1F3864" w:themeColor="accent5" w:themeShade="80"/>
          <w:sz w:val="22"/>
          <w:szCs w:val="22"/>
        </w:rPr>
        <w:t xml:space="preserve"> </w:t>
      </w:r>
    </w:p>
    <w:p w14:paraId="6F655E72" w14:textId="77777777" w:rsidR="008D3EFA" w:rsidRPr="00F5183A" w:rsidRDefault="008D3EFA" w:rsidP="13B78135">
      <w:pPr>
        <w:pStyle w:val="Default"/>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(a)</w:t>
      </w:r>
      <w:r>
        <w:tab/>
      </w:r>
      <w:r w:rsidRPr="13B78135">
        <w:rPr>
          <w:rFonts w:ascii="Century Gothic" w:eastAsia="Century Gothic" w:hAnsi="Century Gothic" w:cs="Century Gothic"/>
          <w:b/>
          <w:bCs/>
          <w:color w:val="1F3864" w:themeColor="accent5" w:themeShade="80"/>
          <w:sz w:val="22"/>
          <w:szCs w:val="22"/>
        </w:rPr>
        <w:t xml:space="preserve">Recognition of Prior Certificated Learning (RPCL) </w:t>
      </w:r>
      <w:r w:rsidRPr="13B78135">
        <w:rPr>
          <w:rFonts w:ascii="Century Gothic" w:eastAsia="Century Gothic" w:hAnsi="Century Gothic" w:cs="Century Gothic"/>
          <w:color w:val="1F3864" w:themeColor="accent5" w:themeShade="80"/>
          <w:sz w:val="22"/>
          <w:szCs w:val="22"/>
        </w:rPr>
        <w:t xml:space="preserve">(such as professional development awards or employment-based awards) which is at higher education level but which has not led to the award of credits or qualifications positioned on the relevant higher education qualifications framework; </w:t>
      </w:r>
    </w:p>
    <w:p w14:paraId="1EE51F25" w14:textId="77777777" w:rsidR="008D3EFA" w:rsidRPr="00F5183A" w:rsidRDefault="008D3EFA" w:rsidP="13B78135">
      <w:pPr>
        <w:pStyle w:val="Default"/>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(b)</w:t>
      </w:r>
      <w:r>
        <w:tab/>
      </w:r>
      <w:r w:rsidRPr="13B78135">
        <w:rPr>
          <w:rFonts w:ascii="Century Gothic" w:eastAsia="Century Gothic" w:hAnsi="Century Gothic" w:cs="Century Gothic"/>
          <w:b/>
          <w:bCs/>
          <w:color w:val="1F3864" w:themeColor="accent5" w:themeShade="80"/>
          <w:sz w:val="22"/>
          <w:szCs w:val="22"/>
        </w:rPr>
        <w:t>Recognition of Prior Experiential Learning (RPEL)</w:t>
      </w:r>
      <w:r w:rsidRPr="13B78135">
        <w:rPr>
          <w:rFonts w:ascii="Century Gothic" w:eastAsia="Century Gothic" w:hAnsi="Century Gothic" w:cs="Century Gothic"/>
          <w:color w:val="1F3864" w:themeColor="accent5" w:themeShade="80"/>
          <w:sz w:val="22"/>
          <w:szCs w:val="22"/>
        </w:rPr>
        <w:t xml:space="preserve"> is a process through which learning achieved outside education or training systems is assessed and, as appropriate, recognised for academic purposes, usually through the award of credit.</w:t>
      </w:r>
    </w:p>
    <w:p w14:paraId="56E89F4A" w14:textId="77777777" w:rsidR="008D3EFA" w:rsidRPr="00F5183A" w:rsidRDefault="008D3EFA" w:rsidP="13B78135">
      <w:pPr>
        <w:pStyle w:val="Default"/>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(c)</w:t>
      </w:r>
      <w:r>
        <w:tab/>
      </w:r>
      <w:r w:rsidRPr="13B78135">
        <w:rPr>
          <w:rFonts w:ascii="Century Gothic" w:eastAsia="Century Gothic" w:hAnsi="Century Gothic" w:cs="Century Gothic"/>
          <w:b/>
          <w:bCs/>
          <w:color w:val="1F3864" w:themeColor="accent5" w:themeShade="80"/>
          <w:sz w:val="22"/>
          <w:szCs w:val="22"/>
        </w:rPr>
        <w:t>Credit Transfer</w:t>
      </w:r>
      <w:r w:rsidRPr="13B78135">
        <w:rPr>
          <w:rFonts w:ascii="Century Gothic" w:eastAsia="Century Gothic" w:hAnsi="Century Gothic" w:cs="Century Gothic"/>
          <w:color w:val="1F3864" w:themeColor="accent5" w:themeShade="80"/>
          <w:sz w:val="22"/>
          <w:szCs w:val="22"/>
        </w:rPr>
        <w:t xml:space="preserve"> is recognition of credit or qualifications at higher education level (4 or above) awarded by a UK higher education awarding body in accordance with the relevant higher education </w:t>
      </w:r>
      <w:r w:rsidRPr="13B78135">
        <w:rPr>
          <w:rFonts w:ascii="Century Gothic" w:eastAsia="Century Gothic" w:hAnsi="Century Gothic" w:cs="Century Gothic"/>
          <w:color w:val="1F3864" w:themeColor="accent5" w:themeShade="80"/>
          <w:sz w:val="22"/>
          <w:szCs w:val="22"/>
        </w:rPr>
        <w:lastRenderedPageBreak/>
        <w:t>qualifications framework;</w:t>
      </w:r>
    </w:p>
    <w:p w14:paraId="3533B359" w14:textId="77777777" w:rsidR="008D3EFA" w:rsidRPr="00F5183A" w:rsidRDefault="008D3EFA" w:rsidP="13B78135">
      <w:pPr>
        <w:pStyle w:val="Default"/>
        <w:spacing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(d)</w:t>
      </w:r>
      <w:r>
        <w:tab/>
      </w:r>
      <w:r w:rsidRPr="13B78135">
        <w:rPr>
          <w:rFonts w:ascii="Century Gothic" w:eastAsia="Century Gothic" w:hAnsi="Century Gothic" w:cs="Century Gothic"/>
          <w:b/>
          <w:bCs/>
          <w:color w:val="1F3864" w:themeColor="accent5" w:themeShade="80"/>
          <w:sz w:val="22"/>
          <w:szCs w:val="22"/>
        </w:rPr>
        <w:t>Direct entry</w:t>
      </w:r>
      <w:r w:rsidRPr="13B78135">
        <w:rPr>
          <w:rFonts w:ascii="Century Gothic" w:eastAsia="Century Gothic" w:hAnsi="Century Gothic" w:cs="Century Gothic"/>
          <w:color w:val="1F3864" w:themeColor="accent5" w:themeShade="80"/>
          <w:sz w:val="22"/>
          <w:szCs w:val="22"/>
        </w:rPr>
        <w:t xml:space="preserve"> is where students may be admitted to a degree programme in one of the later stages, having already completed the equivalent of the earlier stage(s) on a different programme e.g. a Foundation Degree or a Higher National. They will be recorded as “exempt” from the earlier stage(s), and this exemption will be reported on each issue of the student’s Statement of Achievement or equivalent, thereby signalling that the credit requirements for the stage(s) have been completed.</w:t>
      </w:r>
    </w:p>
    <w:p w14:paraId="1B743287" w14:textId="77777777" w:rsidR="008D3EFA" w:rsidRPr="00F5183A" w:rsidRDefault="008D3EFA"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53C32CAC" w14:textId="77777777" w:rsidR="008D3EFA" w:rsidRPr="00F5183A" w:rsidRDefault="008D3EFA"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2.3</w:t>
      </w:r>
      <w:r>
        <w:tab/>
      </w:r>
      <w:r w:rsidRPr="13B78135">
        <w:rPr>
          <w:rFonts w:ascii="Century Gothic" w:eastAsia="Century Gothic" w:hAnsi="Century Gothic" w:cs="Century Gothic"/>
          <w:color w:val="1F3864" w:themeColor="accent5" w:themeShade="80"/>
          <w:sz w:val="22"/>
          <w:szCs w:val="22"/>
        </w:rPr>
        <w:t>RPL enables recognition of achievement from a range of activities using any appropriate assessment methodology. Provided that the assessment requirements of a given module or qualification have been met, the use of RPL may acceptable for accrediting a module, modules or a complete stage. Partial module completion is not acceptable. Evidence of learning must be:</w:t>
      </w:r>
    </w:p>
    <w:p w14:paraId="0195B534" w14:textId="77777777" w:rsidR="008D3EFA" w:rsidRPr="00F5183A" w:rsidRDefault="008D3EFA"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675542E3" w14:textId="77777777" w:rsidR="008D3EFA" w:rsidRPr="00F5183A" w:rsidRDefault="008D3EFA" w:rsidP="13B78135">
      <w:pPr>
        <w:pStyle w:val="Default"/>
        <w:numPr>
          <w:ilvl w:val="0"/>
          <w:numId w:val="11"/>
        </w:numPr>
        <w:spacing w:after="113" w:line="360" w:lineRule="auto"/>
        <w:ind w:left="1134"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valid </w:t>
      </w:r>
    </w:p>
    <w:p w14:paraId="4CF3E4BE" w14:textId="77777777" w:rsidR="008D3EFA" w:rsidRPr="00F5183A" w:rsidRDefault="008D3EFA" w:rsidP="13B78135">
      <w:pPr>
        <w:pStyle w:val="Default"/>
        <w:numPr>
          <w:ilvl w:val="0"/>
          <w:numId w:val="11"/>
        </w:numPr>
        <w:spacing w:after="113" w:line="360" w:lineRule="auto"/>
        <w:ind w:left="1134"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reliable</w:t>
      </w:r>
    </w:p>
    <w:p w14:paraId="439B3001" w14:textId="77777777" w:rsidR="008D3EFA" w:rsidRPr="00F5183A" w:rsidRDefault="008D3EFA" w:rsidP="13B78135">
      <w:pPr>
        <w:pStyle w:val="Default"/>
        <w:numPr>
          <w:ilvl w:val="0"/>
          <w:numId w:val="11"/>
        </w:numPr>
        <w:spacing w:after="113" w:line="360" w:lineRule="auto"/>
        <w:ind w:left="1134"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authentic</w:t>
      </w:r>
    </w:p>
    <w:p w14:paraId="338D6E2E" w14:textId="77777777" w:rsidR="008D3EFA" w:rsidRPr="00F5183A" w:rsidRDefault="008D3EFA" w:rsidP="13B78135">
      <w:pPr>
        <w:pStyle w:val="Default"/>
        <w:numPr>
          <w:ilvl w:val="0"/>
          <w:numId w:val="11"/>
        </w:numPr>
        <w:spacing w:line="360" w:lineRule="auto"/>
        <w:ind w:left="1134"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sufficient </w:t>
      </w:r>
    </w:p>
    <w:p w14:paraId="7CA36820" w14:textId="77777777"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Principles</w:t>
      </w:r>
    </w:p>
    <w:p w14:paraId="5FC4465D" w14:textId="0E980749" w:rsidR="007E75EE" w:rsidRPr="00F5183A" w:rsidRDefault="007E75EE"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The following principles govern consideration of claims for recognition of prior learning:</w:t>
      </w:r>
    </w:p>
    <w:p w14:paraId="07CC4843" w14:textId="77777777" w:rsidR="007E75EE" w:rsidRPr="00F5183A" w:rsidRDefault="007E75EE"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42FCEA16"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(a)</w:t>
      </w:r>
      <w:r>
        <w:tab/>
      </w:r>
      <w:r w:rsidRPr="13B78135">
        <w:rPr>
          <w:rFonts w:ascii="Century Gothic" w:eastAsia="Century Gothic" w:hAnsi="Century Gothic" w:cs="Century Gothic"/>
          <w:color w:val="1F3864" w:themeColor="accent5" w:themeShade="80"/>
          <w:sz w:val="22"/>
          <w:szCs w:val="22"/>
        </w:rPr>
        <w:t>Decisions about the recognition of prior learning take account of The Framework for Higher Education Qualifications in England, Wales and Northern Ireland and the Higher Education Credit Framework for England: Guidance on academic credit arrangements in higher education in England.</w:t>
      </w:r>
    </w:p>
    <w:p w14:paraId="7BAD2D39"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(b)</w:t>
      </w:r>
      <w:r>
        <w:tab/>
      </w:r>
      <w:r w:rsidRPr="13B78135">
        <w:rPr>
          <w:rFonts w:ascii="Century Gothic" w:eastAsia="Century Gothic" w:hAnsi="Century Gothic" w:cs="Century Gothic"/>
          <w:color w:val="1F3864" w:themeColor="accent5" w:themeShade="80"/>
          <w:sz w:val="22"/>
          <w:szCs w:val="22"/>
        </w:rPr>
        <w:t>Decisions about the recognition of prior learning are assessment decisions, and not simply admission decisions.</w:t>
      </w:r>
    </w:p>
    <w:p w14:paraId="3DACDEBD"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(c)</w:t>
      </w:r>
      <w:r>
        <w:tab/>
      </w:r>
      <w:r w:rsidRPr="13B78135">
        <w:rPr>
          <w:rFonts w:ascii="Century Gothic" w:eastAsia="Century Gothic" w:hAnsi="Century Gothic" w:cs="Century Gothic"/>
          <w:color w:val="1F3864" w:themeColor="accent5" w:themeShade="80"/>
          <w:sz w:val="22"/>
          <w:szCs w:val="22"/>
        </w:rPr>
        <w:t>The principles associated with good practice in the management of assessment apply equally to processes for the RPL: transparency, fairness, consistency, reliability, and validity.</w:t>
      </w:r>
    </w:p>
    <w:p w14:paraId="2BE9DC64"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(d) </w:t>
      </w:r>
      <w:r>
        <w:tab/>
      </w:r>
      <w:r w:rsidRPr="13B78135">
        <w:rPr>
          <w:rFonts w:ascii="Century Gothic" w:eastAsia="Century Gothic" w:hAnsi="Century Gothic" w:cs="Century Gothic"/>
          <w:color w:val="1F3864" w:themeColor="accent5" w:themeShade="80"/>
          <w:sz w:val="22"/>
          <w:szCs w:val="22"/>
        </w:rPr>
        <w:t xml:space="preserve">RPL is a student led activity. To qualify for an award all students must </w:t>
      </w:r>
      <w:r w:rsidRPr="13B78135">
        <w:rPr>
          <w:rFonts w:ascii="Century Gothic" w:eastAsia="Century Gothic" w:hAnsi="Century Gothic" w:cs="Century Gothic"/>
          <w:color w:val="1F3864" w:themeColor="accent5" w:themeShade="80"/>
          <w:sz w:val="22"/>
          <w:szCs w:val="22"/>
        </w:rPr>
        <w:lastRenderedPageBreak/>
        <w:t xml:space="preserve">be treated equitably regardless of the source of the learning that is being assessed </w:t>
      </w:r>
    </w:p>
    <w:p w14:paraId="45B8B91A"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(e)</w:t>
      </w:r>
      <w:r>
        <w:tab/>
      </w:r>
      <w:r w:rsidRPr="13B78135">
        <w:rPr>
          <w:rFonts w:ascii="Century Gothic" w:eastAsia="Century Gothic" w:hAnsi="Century Gothic" w:cs="Century Gothic"/>
          <w:color w:val="1F3864" w:themeColor="accent5" w:themeShade="80"/>
          <w:sz w:val="22"/>
          <w:szCs w:val="22"/>
        </w:rPr>
        <w:t>Credit is given for relevant and recent learning and not for experience alone.</w:t>
      </w:r>
    </w:p>
    <w:p w14:paraId="5AA1ECF1"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(f)</w:t>
      </w:r>
      <w:r>
        <w:tab/>
      </w:r>
      <w:r w:rsidRPr="13B78135">
        <w:rPr>
          <w:rFonts w:ascii="Century Gothic" w:eastAsia="Century Gothic" w:hAnsi="Century Gothic" w:cs="Century Gothic"/>
          <w:color w:val="1F3864" w:themeColor="accent5" w:themeShade="80"/>
          <w:sz w:val="22"/>
          <w:szCs w:val="22"/>
        </w:rPr>
        <w:t xml:space="preserve">Assessment of claims for RPL must be given only for demonstrated learning, where equivalence of learning outcomes can be demonstrated, which is of an equivalent level, volume and currency. </w:t>
      </w:r>
    </w:p>
    <w:p w14:paraId="110BB2DE"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00F5183A">
        <w:rPr>
          <w:sz w:val="22"/>
          <w:szCs w:val="22"/>
        </w:rPr>
        <w:tab/>
      </w:r>
      <w:r w:rsidRPr="13B78135">
        <w:rPr>
          <w:rFonts w:ascii="Century Gothic" w:eastAsia="Century Gothic" w:hAnsi="Century Gothic" w:cs="Century Gothic"/>
          <w:color w:val="1F3864" w:themeColor="accent5" w:themeShade="80"/>
          <w:sz w:val="22"/>
          <w:szCs w:val="22"/>
        </w:rPr>
        <w:t>For Undergraduate Awards, the maximum credits available as RPL is 50% of the credits for the level and applies only up to and including foundation degree, it is not applicable for a bachelor level award.</w:t>
      </w:r>
    </w:p>
    <w:p w14:paraId="08D9B5E9" w14:textId="77777777" w:rsidR="007E75EE" w:rsidRPr="00F5183A" w:rsidRDefault="007E75EE" w:rsidP="13B78135">
      <w:pPr>
        <w:pStyle w:val="Default"/>
        <w:spacing w:after="113" w:line="360" w:lineRule="auto"/>
        <w:ind w:left="1247"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Recognition of prior learning (certified, experiential or uncertified) is not permitted at level 6 of a bachelor’s degree or for the thesis/dissertation module, where students are experienced to complete 120 credits in order to gain the award. </w:t>
      </w:r>
    </w:p>
    <w:p w14:paraId="23245528"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p>
    <w:tbl>
      <w:tblPr>
        <w:tblW w:w="0" w:type="auto"/>
        <w:tblInd w:w="1247" w:type="dxa"/>
        <w:tbl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insideH w:val="double" w:sz="12" w:space="0" w:color="1F3864" w:themeColor="accent5" w:themeShade="80"/>
          <w:insideV w:val="double" w:sz="12" w:space="0" w:color="1F3864" w:themeColor="accent5" w:themeShade="80"/>
        </w:tblBorders>
        <w:tblLook w:val="04A0" w:firstRow="1" w:lastRow="0" w:firstColumn="1" w:lastColumn="0" w:noHBand="0" w:noVBand="1"/>
      </w:tblPr>
      <w:tblGrid>
        <w:gridCol w:w="3095"/>
        <w:gridCol w:w="2929"/>
        <w:gridCol w:w="1668"/>
      </w:tblGrid>
      <w:tr w:rsidR="007E75EE" w:rsidRPr="00F5183A" w14:paraId="5D1B8BEE" w14:textId="77777777" w:rsidTr="13B78135">
        <w:tc>
          <w:tcPr>
            <w:tcW w:w="3568" w:type="dxa"/>
            <w:shd w:val="clear" w:color="auto" w:fill="FEEACA"/>
          </w:tcPr>
          <w:p w14:paraId="43E3AB22"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Exit award</w:t>
            </w:r>
          </w:p>
        </w:tc>
        <w:tc>
          <w:tcPr>
            <w:tcW w:w="3402" w:type="dxa"/>
            <w:shd w:val="clear" w:color="auto" w:fill="FEEACA"/>
          </w:tcPr>
          <w:p w14:paraId="10291BC2"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Maximum credits available as RPL</w:t>
            </w:r>
          </w:p>
        </w:tc>
        <w:tc>
          <w:tcPr>
            <w:tcW w:w="1745" w:type="dxa"/>
            <w:shd w:val="clear" w:color="auto" w:fill="FEEACA"/>
          </w:tcPr>
          <w:p w14:paraId="141AA43E"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Total credits required </w:t>
            </w:r>
          </w:p>
        </w:tc>
      </w:tr>
      <w:tr w:rsidR="007E75EE" w:rsidRPr="00F5183A" w14:paraId="62B05BCF" w14:textId="77777777" w:rsidTr="13B78135">
        <w:tc>
          <w:tcPr>
            <w:tcW w:w="3568" w:type="dxa"/>
            <w:shd w:val="clear" w:color="auto" w:fill="FEEACA"/>
          </w:tcPr>
          <w:p w14:paraId="04D40627"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Certificate in Higher Education </w:t>
            </w:r>
          </w:p>
        </w:tc>
        <w:tc>
          <w:tcPr>
            <w:tcW w:w="3402" w:type="dxa"/>
            <w:shd w:val="clear" w:color="auto" w:fill="FEEACA"/>
          </w:tcPr>
          <w:p w14:paraId="54FCADBB"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60 credits at level 4</w:t>
            </w:r>
          </w:p>
        </w:tc>
        <w:tc>
          <w:tcPr>
            <w:tcW w:w="1745" w:type="dxa"/>
            <w:shd w:val="clear" w:color="auto" w:fill="FEEACA"/>
          </w:tcPr>
          <w:p w14:paraId="7CA1B52C"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120</w:t>
            </w:r>
          </w:p>
        </w:tc>
      </w:tr>
      <w:tr w:rsidR="007E75EE" w:rsidRPr="00F5183A" w14:paraId="52C58134" w14:textId="77777777" w:rsidTr="13B78135">
        <w:tc>
          <w:tcPr>
            <w:tcW w:w="3568" w:type="dxa"/>
            <w:shd w:val="clear" w:color="auto" w:fill="FEEACA"/>
          </w:tcPr>
          <w:p w14:paraId="22BEF3BC" w14:textId="66318174" w:rsidR="007E75EE" w:rsidRPr="00F5183A" w:rsidRDefault="007E75EE" w:rsidP="13B78135">
            <w:pPr>
              <w:pStyle w:val="Default"/>
              <w:tabs>
                <w:tab w:val="right" w:pos="2581"/>
              </w:tabs>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Foundation Degree</w:t>
            </w:r>
            <w:r>
              <w:tab/>
            </w:r>
          </w:p>
        </w:tc>
        <w:tc>
          <w:tcPr>
            <w:tcW w:w="3402" w:type="dxa"/>
            <w:shd w:val="clear" w:color="auto" w:fill="FEEACA"/>
          </w:tcPr>
          <w:p w14:paraId="12993D7B"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120 credits at level 4 or 5</w:t>
            </w:r>
          </w:p>
        </w:tc>
        <w:tc>
          <w:tcPr>
            <w:tcW w:w="1745" w:type="dxa"/>
            <w:shd w:val="clear" w:color="auto" w:fill="FEEACA"/>
          </w:tcPr>
          <w:p w14:paraId="1BD8446B"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240</w:t>
            </w:r>
          </w:p>
        </w:tc>
      </w:tr>
      <w:tr w:rsidR="007E75EE" w:rsidRPr="00F5183A" w14:paraId="06BBE021" w14:textId="77777777" w:rsidTr="13B78135">
        <w:tc>
          <w:tcPr>
            <w:tcW w:w="3568" w:type="dxa"/>
            <w:shd w:val="clear" w:color="auto" w:fill="FEEACA"/>
          </w:tcPr>
          <w:p w14:paraId="7DFA9AE7"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Level 6 (Top up) </w:t>
            </w:r>
          </w:p>
        </w:tc>
        <w:tc>
          <w:tcPr>
            <w:tcW w:w="3402" w:type="dxa"/>
            <w:shd w:val="clear" w:color="auto" w:fill="FEEACA"/>
          </w:tcPr>
          <w:p w14:paraId="12158928"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0 credits – RPL is not allowed at this level</w:t>
            </w:r>
          </w:p>
        </w:tc>
        <w:tc>
          <w:tcPr>
            <w:tcW w:w="1745" w:type="dxa"/>
            <w:shd w:val="clear" w:color="auto" w:fill="FEEACA"/>
          </w:tcPr>
          <w:p w14:paraId="5F3B731C" w14:textId="77777777" w:rsidR="007E75EE" w:rsidRPr="00F5183A" w:rsidRDefault="007E75EE" w:rsidP="13B78135">
            <w:pPr>
              <w:pStyle w:val="Default"/>
              <w:spacing w:after="113" w:line="360" w:lineRule="auto"/>
              <w:ind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120</w:t>
            </w:r>
          </w:p>
        </w:tc>
      </w:tr>
    </w:tbl>
    <w:p w14:paraId="7091F521"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p>
    <w:p w14:paraId="2A75D419" w14:textId="77777777" w:rsidR="007E75EE" w:rsidRPr="00F5183A" w:rsidRDefault="007E75EE" w:rsidP="13B78135">
      <w:pPr>
        <w:pStyle w:val="Default"/>
        <w:spacing w:after="113" w:line="360" w:lineRule="auto"/>
        <w:ind w:left="1247"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RPL claims exceeding the stated maximum for each stage (including the final stage) are permitted but with the proviso that students will not be eligible for the stage award.</w:t>
      </w:r>
    </w:p>
    <w:p w14:paraId="05568626" w14:textId="77777777" w:rsidR="007E75EE" w:rsidRPr="00F5183A" w:rsidRDefault="007E75EE" w:rsidP="13B78135">
      <w:pPr>
        <w:pStyle w:val="Default"/>
        <w:spacing w:after="113" w:line="360" w:lineRule="auto"/>
        <w:ind w:left="1247"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For example, a student enrolled on a Foundation Degree who is awarded 80 credits at level 4 via RPL claim would not be eligible for an exit award of Cert HE as the maximum 60 credits has been exceeded. </w:t>
      </w:r>
      <w:r>
        <w:tab/>
      </w:r>
    </w:p>
    <w:p w14:paraId="636502B8"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(g)</w:t>
      </w:r>
      <w:r>
        <w:tab/>
      </w:r>
      <w:r w:rsidRPr="13B78135">
        <w:rPr>
          <w:rFonts w:ascii="Century Gothic" w:eastAsia="Century Gothic" w:hAnsi="Century Gothic" w:cs="Century Gothic"/>
          <w:color w:val="1F3864" w:themeColor="accent5" w:themeShade="80"/>
          <w:sz w:val="22"/>
          <w:szCs w:val="22"/>
        </w:rPr>
        <w:t xml:space="preserve">Credit is not normally awarded for learning that has taken place more </w:t>
      </w:r>
      <w:r w:rsidRPr="13B78135">
        <w:rPr>
          <w:rFonts w:ascii="Century Gothic" w:eastAsia="Century Gothic" w:hAnsi="Century Gothic" w:cs="Century Gothic"/>
          <w:color w:val="1F3864" w:themeColor="accent5" w:themeShade="80"/>
          <w:sz w:val="22"/>
          <w:szCs w:val="22"/>
        </w:rPr>
        <w:lastRenderedPageBreak/>
        <w:t xml:space="preserve">than six years previously, and in the case of some awards the currency of learning may have a shorter shelf life. </w:t>
      </w:r>
    </w:p>
    <w:p w14:paraId="35263F69"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(h) </w:t>
      </w:r>
      <w:r>
        <w:tab/>
      </w:r>
      <w:r w:rsidRPr="13B78135">
        <w:rPr>
          <w:rFonts w:ascii="Century Gothic" w:eastAsia="Century Gothic" w:hAnsi="Century Gothic" w:cs="Century Gothic"/>
          <w:color w:val="1F3864" w:themeColor="accent5" w:themeShade="80"/>
          <w:sz w:val="22"/>
          <w:szCs w:val="22"/>
        </w:rPr>
        <w:t>The principles of internal moderation of RPL apply.</w:t>
      </w:r>
    </w:p>
    <w:p w14:paraId="175B6E92"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(i)</w:t>
      </w:r>
      <w:r>
        <w:tab/>
      </w:r>
      <w:r w:rsidRPr="13B78135">
        <w:rPr>
          <w:rFonts w:ascii="Century Gothic" w:eastAsia="Century Gothic" w:hAnsi="Century Gothic" w:cs="Century Gothic"/>
          <w:color w:val="1F3864" w:themeColor="accent5" w:themeShade="80"/>
          <w:sz w:val="22"/>
          <w:szCs w:val="22"/>
        </w:rPr>
        <w:t>All decisions regarding RPL should be recorded on the standard forms to ensure due process has been followed.</w:t>
      </w:r>
    </w:p>
    <w:p w14:paraId="29AD9F32" w14:textId="77777777" w:rsidR="007E75EE" w:rsidRPr="00F5183A" w:rsidRDefault="007E75EE" w:rsidP="13B78135">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(j)</w:t>
      </w:r>
      <w:r>
        <w:tab/>
      </w:r>
      <w:r w:rsidRPr="13B78135">
        <w:rPr>
          <w:rFonts w:ascii="Century Gothic" w:eastAsia="Century Gothic" w:hAnsi="Century Gothic" w:cs="Century Gothic"/>
          <w:color w:val="1F3864" w:themeColor="accent5" w:themeShade="80"/>
          <w:sz w:val="22"/>
          <w:szCs w:val="22"/>
        </w:rPr>
        <w:t>Under some circumstances there may be a limit to the proportion of a qualification that can be achieved by either credit transfer or RPL. Full details of these requirements will be identified in the rules of combination for any qualifications offered by an awarding organisation/institution.</w:t>
      </w:r>
    </w:p>
    <w:p w14:paraId="04C117EF" w14:textId="40A7F54C" w:rsidR="007E75EE" w:rsidRPr="00F5183A" w:rsidRDefault="007E75EE" w:rsidP="13B78135">
      <w:pPr>
        <w:pStyle w:val="Default"/>
        <w:spacing w:line="360" w:lineRule="auto"/>
        <w:ind w:left="1247" w:right="340" w:hanging="51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(k)</w:t>
      </w:r>
      <w:r>
        <w:tab/>
      </w:r>
      <w:r w:rsidRPr="13B78135">
        <w:rPr>
          <w:rFonts w:ascii="Century Gothic" w:eastAsia="Century Gothic" w:hAnsi="Century Gothic" w:cs="Century Gothic"/>
          <w:color w:val="1F3864" w:themeColor="accent5" w:themeShade="80"/>
          <w:sz w:val="22"/>
          <w:szCs w:val="22"/>
        </w:rPr>
        <w:t xml:space="preserve">Prior achievement of HE credit or qualifications is not automatically granted recognition in relation to College programmes; it depends on the currency and the relevance of the learning to </w:t>
      </w:r>
      <w:r w:rsidR="1838FCC2" w:rsidRPr="13B78135">
        <w:rPr>
          <w:rFonts w:ascii="Century Gothic" w:eastAsia="Century Gothic" w:hAnsi="Century Gothic" w:cs="Century Gothic"/>
          <w:color w:val="1F3864" w:themeColor="accent5" w:themeShade="80"/>
          <w:sz w:val="22"/>
          <w:szCs w:val="22"/>
        </w:rPr>
        <w:t>DCG</w:t>
      </w:r>
      <w:r w:rsidRPr="13B78135">
        <w:rPr>
          <w:rFonts w:ascii="Century Gothic" w:eastAsia="Century Gothic" w:hAnsi="Century Gothic" w:cs="Century Gothic"/>
          <w:color w:val="1F3864" w:themeColor="accent5" w:themeShade="80"/>
          <w:sz w:val="22"/>
          <w:szCs w:val="22"/>
        </w:rPr>
        <w:t xml:space="preserve"> programme, as well as it being at the appropriate academic level and of sufficient volume </w:t>
      </w:r>
    </w:p>
    <w:p w14:paraId="67BF86E8" w14:textId="77777777"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Scope and Limitations</w:t>
      </w:r>
    </w:p>
    <w:p w14:paraId="62D1CAFD" w14:textId="68EE344E" w:rsidR="00DE0D73" w:rsidRPr="00F5183A" w:rsidRDefault="00DE0D73"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This policy is applicable to all Higher Education programmes that are not</w:t>
      </w:r>
      <w:r w:rsidRPr="13B78135">
        <w:rPr>
          <w:rFonts w:ascii="Century Gothic" w:eastAsia="Century Gothic" w:hAnsi="Century Gothic" w:cs="Century Gothic"/>
          <w:b/>
          <w:bCs/>
          <w:color w:val="1F3864" w:themeColor="accent5" w:themeShade="80"/>
        </w:rPr>
        <w:t xml:space="preserve"> </w:t>
      </w:r>
      <w:r w:rsidRPr="13B78135">
        <w:rPr>
          <w:rFonts w:ascii="Century Gothic" w:eastAsia="Century Gothic" w:hAnsi="Century Gothic" w:cs="Century Gothic"/>
          <w:color w:val="1F3864" w:themeColor="accent5" w:themeShade="80"/>
        </w:rPr>
        <w:t xml:space="preserve">subject to a recognition of prior learning policy set by an awarding organisation/institution. These processes are designed to enable students to avoid the duplication of learning and assessment. There are two ways in which this will be achieved: </w:t>
      </w:r>
    </w:p>
    <w:p w14:paraId="25653629" w14:textId="77777777" w:rsidR="00DE0D73" w:rsidRPr="00F5183A" w:rsidRDefault="00DE0D73" w:rsidP="13B78135">
      <w:pPr>
        <w:pStyle w:val="Default"/>
        <w:spacing w:line="360" w:lineRule="auto"/>
        <w:jc w:val="both"/>
        <w:rPr>
          <w:rFonts w:ascii="Century Gothic" w:eastAsia="Century Gothic" w:hAnsi="Century Gothic" w:cs="Century Gothic"/>
          <w:color w:val="1F3864" w:themeColor="accent5" w:themeShade="80"/>
          <w:sz w:val="22"/>
          <w:szCs w:val="22"/>
        </w:rPr>
      </w:pPr>
    </w:p>
    <w:p w14:paraId="36DB8C1A" w14:textId="77777777" w:rsidR="00DE0D73" w:rsidRPr="00F5183A" w:rsidRDefault="00DE0D73" w:rsidP="13B78135">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The opportunity to transfer credits, i.e. to recognise previously accredited achievement to count towards other qualifications.</w:t>
      </w:r>
    </w:p>
    <w:p w14:paraId="1F9A86AE" w14:textId="77777777" w:rsidR="00DE0D73" w:rsidRPr="00F5183A" w:rsidRDefault="00DE0D73" w:rsidP="13B78135">
      <w:pPr>
        <w:pStyle w:val="Default"/>
        <w:numPr>
          <w:ilvl w:val="0"/>
          <w:numId w:val="13"/>
        </w:numPr>
        <w:spacing w:after="35"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For individuals with learning or achievements that have not been certificated/accredited it may be possible to assess and validate these through an RPL process. These achievements may then count towards a qualification.</w:t>
      </w:r>
    </w:p>
    <w:p w14:paraId="062D94C3" w14:textId="77777777" w:rsidR="00DE0D73" w:rsidRPr="00F5183A" w:rsidRDefault="00DE0D73" w:rsidP="13B78135">
      <w:pPr>
        <w:spacing w:line="360" w:lineRule="auto"/>
        <w:ind w:left="737" w:hanging="737"/>
        <w:jc w:val="both"/>
        <w:rPr>
          <w:rFonts w:ascii="Century Gothic" w:eastAsia="Century Gothic" w:hAnsi="Century Gothic" w:cs="Century Gothic"/>
          <w:color w:val="1F3864" w:themeColor="accent5" w:themeShade="80"/>
        </w:rPr>
      </w:pPr>
    </w:p>
    <w:p w14:paraId="1DB09E43" w14:textId="7FE66A62" w:rsidR="00DE0D73" w:rsidRPr="00F5183A" w:rsidRDefault="00DE0D73"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 xml:space="preserve">This policy applies to all qualifications, including those on the National Qualification Framework (NQF), the Qualifications and Credit Framework (QCF), Regulated Qualifications Framework (RQF) Self-Regulated Framework (SRF), Framework for Higher Education Qualifications (FHEQ) and other national </w:t>
      </w:r>
      <w:r w:rsidRPr="13B78135">
        <w:rPr>
          <w:rFonts w:ascii="Century Gothic" w:eastAsia="Century Gothic" w:hAnsi="Century Gothic" w:cs="Century Gothic"/>
          <w:color w:val="1F3864" w:themeColor="accent5" w:themeShade="80"/>
        </w:rPr>
        <w:lastRenderedPageBreak/>
        <w:t xml:space="preserve">frameworks in Wales, Scotland and Northern Ireland and self-regulated qualifications. </w:t>
      </w:r>
    </w:p>
    <w:p w14:paraId="1BB42445" w14:textId="77777777" w:rsidR="00DE0D73" w:rsidRPr="00F5183A" w:rsidRDefault="00DE0D73" w:rsidP="13B78135">
      <w:pPr>
        <w:spacing w:line="360" w:lineRule="auto"/>
        <w:ind w:left="737" w:hanging="737"/>
        <w:jc w:val="both"/>
        <w:rPr>
          <w:rFonts w:ascii="Century Gothic" w:eastAsia="Century Gothic" w:hAnsi="Century Gothic" w:cs="Century Gothic"/>
          <w:color w:val="1F3864" w:themeColor="accent5" w:themeShade="80"/>
        </w:rPr>
      </w:pPr>
    </w:p>
    <w:p w14:paraId="68E019D2" w14:textId="059D7B5A" w:rsidR="00DE0D73" w:rsidRPr="00F5183A" w:rsidRDefault="00DE0D73"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This policy is applicable to all Higher Education programmes that are not subject to a RPL policy set by an awarding organisation/institution. These processes are designed to ensure that standards are achieved and recognised through the award of appropriate marks and to assure students that their work is assessed objectively and against clearly defined, published, assessment criteria. This applies to:</w:t>
      </w:r>
    </w:p>
    <w:p w14:paraId="784B7450" w14:textId="77777777" w:rsidR="00DE0D73" w:rsidRPr="00F5183A" w:rsidRDefault="00DE0D73" w:rsidP="13B78135">
      <w:pPr>
        <w:spacing w:line="360" w:lineRule="auto"/>
        <w:ind w:left="737" w:hanging="737"/>
        <w:jc w:val="both"/>
        <w:rPr>
          <w:rFonts w:ascii="Century Gothic" w:eastAsia="Century Gothic" w:hAnsi="Century Gothic" w:cs="Century Gothic"/>
          <w:color w:val="1F3864" w:themeColor="accent5" w:themeShade="80"/>
        </w:rPr>
      </w:pPr>
    </w:p>
    <w:p w14:paraId="01BA17E7" w14:textId="77777777" w:rsidR="00DE0D73" w:rsidRPr="00F5183A" w:rsidRDefault="00DE0D73" w:rsidP="13B78135">
      <w:pPr>
        <w:pStyle w:val="Default"/>
        <w:numPr>
          <w:ilvl w:val="0"/>
          <w:numId w:val="15"/>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Higher National programmes</w:t>
      </w:r>
    </w:p>
    <w:p w14:paraId="5B33AFB0" w14:textId="77777777" w:rsidR="00DE0D73" w:rsidRPr="00F5183A" w:rsidRDefault="00DE0D73" w:rsidP="13B78135">
      <w:pPr>
        <w:pStyle w:val="Default"/>
        <w:numPr>
          <w:ilvl w:val="0"/>
          <w:numId w:val="15"/>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Honours degrees</w:t>
      </w:r>
    </w:p>
    <w:p w14:paraId="68E7EAAC" w14:textId="77777777" w:rsidR="00DE0D73" w:rsidRPr="00F5183A" w:rsidRDefault="00DE0D73" w:rsidP="13B78135">
      <w:pPr>
        <w:pStyle w:val="Default"/>
        <w:numPr>
          <w:ilvl w:val="0"/>
          <w:numId w:val="15"/>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Degrees (non honours)</w:t>
      </w:r>
    </w:p>
    <w:p w14:paraId="2422C35E" w14:textId="77777777" w:rsidR="00DE0D73" w:rsidRPr="00F5183A" w:rsidRDefault="00DE0D73" w:rsidP="13B78135">
      <w:pPr>
        <w:pStyle w:val="Default"/>
        <w:numPr>
          <w:ilvl w:val="0"/>
          <w:numId w:val="15"/>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Foundation degrees</w:t>
      </w:r>
    </w:p>
    <w:p w14:paraId="64ADC2CA" w14:textId="77777777" w:rsidR="00DE0D73" w:rsidRPr="00F5183A" w:rsidRDefault="00DE0D73" w:rsidP="13B78135">
      <w:pPr>
        <w:pStyle w:val="Default"/>
        <w:numPr>
          <w:ilvl w:val="0"/>
          <w:numId w:val="15"/>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Short course at HE Levels 4 to 7 </w:t>
      </w:r>
    </w:p>
    <w:p w14:paraId="7916B0D2" w14:textId="77777777" w:rsidR="00DE0D73" w:rsidRPr="00F5183A" w:rsidRDefault="00DE0D73" w:rsidP="13B78135">
      <w:pPr>
        <w:spacing w:line="360" w:lineRule="auto"/>
        <w:ind w:left="737" w:hanging="737"/>
        <w:jc w:val="both"/>
        <w:rPr>
          <w:rFonts w:ascii="Century Gothic" w:eastAsia="Century Gothic" w:hAnsi="Century Gothic" w:cs="Century Gothic"/>
          <w:color w:val="1F3864" w:themeColor="accent5" w:themeShade="80"/>
        </w:rPr>
      </w:pPr>
    </w:p>
    <w:p w14:paraId="768A68A3" w14:textId="0830AF6D" w:rsidR="00DE0D73" w:rsidRPr="00F5183A" w:rsidRDefault="1838FCC2"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DCG</w:t>
      </w:r>
      <w:r w:rsidR="00DE0D73" w:rsidRPr="13B78135">
        <w:rPr>
          <w:rFonts w:ascii="Century Gothic" w:eastAsia="Century Gothic" w:hAnsi="Century Gothic" w:cs="Century Gothic"/>
          <w:color w:val="1F3864" w:themeColor="accent5" w:themeShade="80"/>
        </w:rPr>
        <w:t xml:space="preserve"> bases its assessment methods, practices and procedures on the principles of: transparency; consistency; validity; reliability and fairness and has been guided by the UK Quality Code, </w:t>
      </w:r>
      <w:r w:rsidR="00DE0D73" w:rsidRPr="13B78135">
        <w:rPr>
          <w:rFonts w:ascii="Century Gothic" w:eastAsia="Century Gothic" w:hAnsi="Century Gothic" w:cs="Century Gothic"/>
          <w:i/>
          <w:iCs/>
          <w:color w:val="1F3864" w:themeColor="accent5" w:themeShade="80"/>
        </w:rPr>
        <w:t xml:space="preserve">Assessment, </w:t>
      </w:r>
      <w:r w:rsidR="00DE0D73" w:rsidRPr="13B78135">
        <w:rPr>
          <w:rFonts w:ascii="Century Gothic" w:eastAsia="Century Gothic" w:hAnsi="Century Gothic" w:cs="Century Gothic"/>
          <w:color w:val="1F3864" w:themeColor="accent5" w:themeShade="80"/>
        </w:rPr>
        <w:t xml:space="preserve">and </w:t>
      </w:r>
      <w:r w:rsidR="00DE0D73" w:rsidRPr="13B78135">
        <w:rPr>
          <w:rFonts w:ascii="Century Gothic" w:eastAsia="Century Gothic" w:hAnsi="Century Gothic" w:cs="Century Gothic"/>
          <w:i/>
          <w:iCs/>
          <w:color w:val="1F3864" w:themeColor="accent5" w:themeShade="80"/>
        </w:rPr>
        <w:t xml:space="preserve">Recognition of Prior Learning </w:t>
      </w:r>
      <w:r w:rsidR="00DE0D73" w:rsidRPr="13B78135">
        <w:rPr>
          <w:rFonts w:ascii="Century Gothic" w:eastAsia="Century Gothic" w:hAnsi="Century Gothic" w:cs="Century Gothic"/>
          <w:color w:val="1F3864" w:themeColor="accent5" w:themeShade="80"/>
        </w:rPr>
        <w:t>and meets the following Core Practice:</w:t>
      </w:r>
    </w:p>
    <w:p w14:paraId="36DD3B43" w14:textId="77777777" w:rsidR="00DE0D73" w:rsidRPr="00F5183A" w:rsidRDefault="00DE0D73" w:rsidP="13B78135">
      <w:pPr>
        <w:spacing w:line="360" w:lineRule="auto"/>
        <w:ind w:left="737" w:hanging="737"/>
        <w:jc w:val="both"/>
        <w:rPr>
          <w:rFonts w:ascii="Century Gothic" w:eastAsia="Century Gothic" w:hAnsi="Century Gothic" w:cs="Century Gothic"/>
          <w:color w:val="1F3864" w:themeColor="accent5" w:themeShade="80"/>
        </w:rPr>
      </w:pPr>
    </w:p>
    <w:p w14:paraId="60375187" w14:textId="77777777" w:rsidR="00DE0D73" w:rsidRPr="00F5183A" w:rsidRDefault="00DE0D73" w:rsidP="13B78135">
      <w:pPr>
        <w:spacing w:line="360" w:lineRule="auto"/>
        <w:ind w:left="1247" w:right="340" w:hanging="510"/>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(a)</w:t>
      </w:r>
      <w:r>
        <w:tab/>
      </w:r>
      <w:r w:rsidRPr="13B78135">
        <w:rPr>
          <w:rFonts w:ascii="Century Gothic" w:eastAsia="Century Gothic" w:hAnsi="Century Gothic" w:cs="Century Gothic"/>
          <w:i/>
          <w:iCs/>
          <w:color w:val="1F3864" w:themeColor="accent5" w:themeShade="80"/>
        </w:rPr>
        <w:t>The provider uses external expertise, assessment and classification processes that are reliable, fair and transparent.</w:t>
      </w:r>
    </w:p>
    <w:p w14:paraId="716C46C8" w14:textId="77777777" w:rsidR="00943425" w:rsidRPr="00E51A0F"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Responsibilities</w:t>
      </w:r>
    </w:p>
    <w:p w14:paraId="258D79DD" w14:textId="28393F67" w:rsidR="00AA125C" w:rsidRPr="00F44027"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bookmarkStart w:id="1" w:name="_Hlk14776902"/>
      <w:r w:rsidRPr="13B78135">
        <w:rPr>
          <w:rFonts w:ascii="Century Gothic" w:eastAsia="Century Gothic" w:hAnsi="Century Gothic" w:cs="Century Gothic"/>
          <w:color w:val="1F3864" w:themeColor="accent5" w:themeShade="80"/>
          <w:sz w:val="22"/>
          <w:szCs w:val="22"/>
        </w:rPr>
        <w:t>Responsibility for this document rests with the Head of Higher Education</w:t>
      </w:r>
      <w:r w:rsidR="0067378F">
        <w:rPr>
          <w:rFonts w:ascii="Century Gothic" w:eastAsia="Century Gothic" w:hAnsi="Century Gothic" w:cs="Century Gothic"/>
          <w:color w:val="1F3864" w:themeColor="accent5" w:themeShade="80"/>
          <w:sz w:val="22"/>
          <w:szCs w:val="22"/>
        </w:rPr>
        <w:t xml:space="preserve"> </w:t>
      </w:r>
      <w:r w:rsidR="0067378F" w:rsidRPr="00F44027">
        <w:rPr>
          <w:rFonts w:ascii="Century Gothic" w:eastAsia="Century Gothic" w:hAnsi="Century Gothic" w:cs="Century Gothic"/>
          <w:color w:val="1F3864" w:themeColor="accent5" w:themeShade="80"/>
          <w:sz w:val="22"/>
          <w:szCs w:val="22"/>
        </w:rPr>
        <w:t>Quality Assurance</w:t>
      </w:r>
      <w:r w:rsidR="00BA7724" w:rsidRPr="00F44027">
        <w:rPr>
          <w:rFonts w:ascii="Century Gothic" w:eastAsia="Century Gothic" w:hAnsi="Century Gothic" w:cs="Century Gothic"/>
          <w:color w:val="1F3864" w:themeColor="accent5" w:themeShade="80"/>
          <w:sz w:val="22"/>
          <w:szCs w:val="22"/>
        </w:rPr>
        <w:t>.</w:t>
      </w:r>
      <w:r w:rsidRPr="00F44027">
        <w:rPr>
          <w:rFonts w:ascii="Century Gothic" w:eastAsia="Century Gothic" w:hAnsi="Century Gothic" w:cs="Century Gothic"/>
          <w:color w:val="1F3864" w:themeColor="accent5" w:themeShade="80"/>
          <w:sz w:val="22"/>
          <w:szCs w:val="22"/>
        </w:rPr>
        <w:t xml:space="preserve"> </w:t>
      </w:r>
      <w:bookmarkStart w:id="2" w:name="_Hlk14776909"/>
      <w:bookmarkEnd w:id="1"/>
    </w:p>
    <w:bookmarkEnd w:id="2"/>
    <w:p w14:paraId="3F88D18D" w14:textId="61BDFE80" w:rsidR="00AA125C" w:rsidRPr="00F5183A" w:rsidRDefault="00AA125C" w:rsidP="13B78135">
      <w:pPr>
        <w:pStyle w:val="Default"/>
        <w:spacing w:line="360" w:lineRule="auto"/>
        <w:ind w:left="574"/>
        <w:jc w:val="both"/>
        <w:rPr>
          <w:rFonts w:ascii="Century Gothic" w:eastAsia="Century Gothic" w:hAnsi="Century Gothic" w:cs="Century Gothic"/>
          <w:color w:val="1F3864" w:themeColor="accent5" w:themeShade="80"/>
          <w:sz w:val="22"/>
          <w:szCs w:val="22"/>
        </w:rPr>
      </w:pPr>
    </w:p>
    <w:p w14:paraId="100ED155" w14:textId="55D9FA4F"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Implementation Arrangements</w:t>
      </w:r>
    </w:p>
    <w:p w14:paraId="29AE8C5F" w14:textId="5C9B2AC0" w:rsidR="00AA125C" w:rsidRPr="00F5183A"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The arrangements that outlined below build on previous good practice and seek to provide additional impetus and coherence.</w:t>
      </w:r>
      <w:bookmarkStart w:id="3" w:name="_Hlk14776955"/>
    </w:p>
    <w:p w14:paraId="284BF068" w14:textId="77777777" w:rsidR="00AA125C" w:rsidRPr="00F5183A" w:rsidRDefault="00AA125C" w:rsidP="13B78135">
      <w:pPr>
        <w:pStyle w:val="Default"/>
        <w:spacing w:line="360" w:lineRule="auto"/>
        <w:ind w:left="574"/>
        <w:jc w:val="both"/>
        <w:rPr>
          <w:rFonts w:ascii="Century Gothic" w:eastAsia="Century Gothic" w:hAnsi="Century Gothic" w:cs="Century Gothic"/>
          <w:color w:val="1F3864" w:themeColor="accent5" w:themeShade="80"/>
          <w:sz w:val="22"/>
          <w:szCs w:val="22"/>
        </w:rPr>
      </w:pPr>
    </w:p>
    <w:p w14:paraId="04527BBC" w14:textId="77777777" w:rsidR="00AA125C" w:rsidRPr="00F5183A"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All new members of staff are made aware of the policy and procedures during </w:t>
      </w:r>
      <w:r w:rsidRPr="13B78135">
        <w:rPr>
          <w:rFonts w:ascii="Century Gothic" w:eastAsia="Century Gothic" w:hAnsi="Century Gothic" w:cs="Century Gothic"/>
          <w:color w:val="1F3864" w:themeColor="accent5" w:themeShade="80"/>
          <w:sz w:val="22"/>
          <w:szCs w:val="22"/>
        </w:rPr>
        <w:lastRenderedPageBreak/>
        <w:t>the formal employee induction process. </w:t>
      </w:r>
      <w:bookmarkStart w:id="4" w:name="_Hlk14777365"/>
      <w:bookmarkStart w:id="5" w:name="_Hlk14776961"/>
      <w:bookmarkEnd w:id="3"/>
    </w:p>
    <w:p w14:paraId="6B618661" w14:textId="77777777" w:rsidR="00AA125C" w:rsidRPr="00F5183A" w:rsidRDefault="00AA125C" w:rsidP="13B78135">
      <w:pPr>
        <w:pStyle w:val="ListParagraph"/>
        <w:spacing w:line="360" w:lineRule="auto"/>
        <w:jc w:val="both"/>
        <w:rPr>
          <w:rFonts w:ascii="Century Gothic" w:eastAsia="Century Gothic" w:hAnsi="Century Gothic" w:cs="Century Gothic"/>
          <w:color w:val="1F3864" w:themeColor="accent5" w:themeShade="80"/>
        </w:rPr>
      </w:pPr>
    </w:p>
    <w:p w14:paraId="176D2217" w14:textId="77777777" w:rsidR="00AA125C" w:rsidRPr="00F5183A"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The policy is published via the staff policy portal, is available to students via the student VLE and is accessible via the Derby College Group website.  This policy can be provided in alternative formats on request. </w:t>
      </w:r>
      <w:bookmarkStart w:id="6" w:name="_Hlk14777370"/>
      <w:bookmarkEnd w:id="4"/>
    </w:p>
    <w:p w14:paraId="50C180BB" w14:textId="77777777" w:rsidR="00AA125C" w:rsidRPr="00F5183A" w:rsidRDefault="00AA125C" w:rsidP="13B78135">
      <w:pPr>
        <w:pStyle w:val="ListParagraph"/>
        <w:spacing w:line="360" w:lineRule="auto"/>
        <w:jc w:val="both"/>
        <w:rPr>
          <w:rFonts w:ascii="Century Gothic" w:eastAsia="Century Gothic" w:hAnsi="Century Gothic" w:cs="Century Gothic"/>
          <w:color w:val="1F3864" w:themeColor="accent5" w:themeShade="80"/>
        </w:rPr>
      </w:pPr>
    </w:p>
    <w:p w14:paraId="2A745E80" w14:textId="77777777" w:rsidR="00AA125C" w:rsidRPr="00F5183A"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Any updates or amendments to the policy and procedures are disseminated to the Leadership and Management team and communicated to team members. </w:t>
      </w:r>
      <w:bookmarkEnd w:id="6"/>
    </w:p>
    <w:bookmarkEnd w:id="5"/>
    <w:p w14:paraId="3700C58C" w14:textId="77777777" w:rsidR="00943425" w:rsidRPr="00E51A0F"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Monitoring and Review</w:t>
      </w:r>
    </w:p>
    <w:p w14:paraId="1B21CA66" w14:textId="7CCFE35C" w:rsidR="00AA125C" w:rsidRPr="00F5183A" w:rsidRDefault="00AA125C" w:rsidP="13B78135">
      <w:pPr>
        <w:pStyle w:val="Default"/>
        <w:numPr>
          <w:ilvl w:val="1"/>
          <w:numId w:val="6"/>
        </w:numPr>
        <w:spacing w:line="360" w:lineRule="auto"/>
        <w:jc w:val="both"/>
        <w:rPr>
          <w:rFonts w:ascii="Century Gothic" w:eastAsia="Century Gothic" w:hAnsi="Century Gothic" w:cs="Century Gothic"/>
          <w:b/>
          <w:bCs/>
          <w:color w:val="1F3864" w:themeColor="accent5" w:themeShade="80"/>
          <w:sz w:val="22"/>
          <w:szCs w:val="22"/>
        </w:rPr>
      </w:pPr>
      <w:bookmarkStart w:id="7" w:name="_Hlk14776979"/>
      <w:bookmarkStart w:id="8" w:name="_Hlk14776371"/>
      <w:bookmarkStart w:id="9" w:name="_Hlk14777391"/>
      <w:r w:rsidRPr="13B78135">
        <w:rPr>
          <w:rFonts w:ascii="Century Gothic" w:eastAsia="Century Gothic" w:hAnsi="Century Gothic" w:cs="Century Gothic"/>
          <w:color w:val="1F3864" w:themeColor="accent5" w:themeShade="80"/>
          <w:sz w:val="22"/>
          <w:szCs w:val="22"/>
        </w:rPr>
        <w:t>The policy and procedure is subject to regular review. It will be reviewed on a three year cycle with an annual appraisal of procedures and documentation. Review will take into account the views of students and stakeholders. DCG reserves the right to make whatever changes it deems appropriate</w:t>
      </w:r>
      <w:bookmarkEnd w:id="7"/>
      <w:r w:rsidRPr="13B78135">
        <w:rPr>
          <w:rFonts w:ascii="Century Gothic" w:eastAsia="Century Gothic" w:hAnsi="Century Gothic" w:cs="Century Gothic"/>
          <w:color w:val="1F3864" w:themeColor="accent5" w:themeShade="80"/>
          <w:sz w:val="22"/>
          <w:szCs w:val="22"/>
        </w:rPr>
        <w:t>.</w:t>
      </w:r>
      <w:bookmarkEnd w:id="8"/>
      <w:bookmarkEnd w:id="9"/>
    </w:p>
    <w:p w14:paraId="3762BC4C" w14:textId="5FBC1D0D"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Guidelines</w:t>
      </w:r>
    </w:p>
    <w:p w14:paraId="3721DAAB" w14:textId="2168C2D6" w:rsidR="006D5827" w:rsidRPr="00F5183A" w:rsidRDefault="006D5827"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There are no specific guidelines in relation to this policy</w:t>
      </w:r>
      <w:r w:rsidR="00F5183A" w:rsidRPr="13B78135">
        <w:rPr>
          <w:rFonts w:ascii="Century Gothic" w:eastAsia="Century Gothic" w:hAnsi="Century Gothic" w:cs="Century Gothic"/>
          <w:color w:val="1F3864" w:themeColor="accent5" w:themeShade="80"/>
        </w:rPr>
        <w:t>.</w:t>
      </w:r>
    </w:p>
    <w:p w14:paraId="2E3B15C2" w14:textId="2120676C"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Procedures</w:t>
      </w:r>
    </w:p>
    <w:p w14:paraId="732C67DB" w14:textId="584F73CC" w:rsidR="006E060C" w:rsidRPr="00423CEB" w:rsidRDefault="651DB55E" w:rsidP="13B78135">
      <w:pPr>
        <w:spacing w:line="360" w:lineRule="auto"/>
        <w:rPr>
          <w:rFonts w:ascii="Century Gothic" w:eastAsia="Century Gothic" w:hAnsi="Century Gothic" w:cs="Century Gothic"/>
          <w:color w:val="1F3864" w:themeColor="accent5" w:themeShade="80"/>
        </w:rPr>
      </w:pPr>
      <w:hyperlink r:id="rId12">
        <w:r w:rsidRPr="13B78135">
          <w:rPr>
            <w:rStyle w:val="Hyperlink"/>
            <w:rFonts w:ascii="Century Gothic" w:eastAsia="Century Gothic" w:hAnsi="Century Gothic" w:cs="Century Gothic"/>
            <w:color w:val="0070C0"/>
          </w:rPr>
          <w:t>HE Recognition of Prior Learning Procedure</w:t>
        </w:r>
      </w:hyperlink>
      <w:r w:rsidR="006E060C" w:rsidRPr="13B78135">
        <w:rPr>
          <w:rFonts w:ascii="Century Gothic" w:eastAsia="Century Gothic" w:hAnsi="Century Gothic" w:cs="Century Gothic"/>
          <w:color w:val="1F3864" w:themeColor="accent5" w:themeShade="80"/>
        </w:rPr>
        <w:t>:</w:t>
      </w:r>
    </w:p>
    <w:p w14:paraId="6EFA4FB9" w14:textId="6628B928" w:rsidR="006E060C" w:rsidRPr="00F5183A" w:rsidRDefault="00564477" w:rsidP="13B78135">
      <w:pPr>
        <w:pStyle w:val="ListParagraph"/>
        <w:numPr>
          <w:ilvl w:val="0"/>
          <w:numId w:val="14"/>
        </w:numPr>
        <w:spacing w:line="360" w:lineRule="auto"/>
        <w:ind w:left="1418"/>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Introduction</w:t>
      </w:r>
    </w:p>
    <w:p w14:paraId="43542DBD" w14:textId="23B93A68" w:rsidR="00564477" w:rsidRPr="00F5183A" w:rsidRDefault="00003C9C" w:rsidP="13B78135">
      <w:pPr>
        <w:pStyle w:val="ListParagraph"/>
        <w:numPr>
          <w:ilvl w:val="0"/>
          <w:numId w:val="14"/>
        </w:numPr>
        <w:spacing w:line="360" w:lineRule="auto"/>
        <w:ind w:left="1418"/>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Credit Transfer</w:t>
      </w:r>
    </w:p>
    <w:p w14:paraId="32F386A1" w14:textId="36896DBC" w:rsidR="00564477" w:rsidRPr="00F5183A" w:rsidRDefault="00003C9C" w:rsidP="13B78135">
      <w:pPr>
        <w:pStyle w:val="ListParagraph"/>
        <w:numPr>
          <w:ilvl w:val="0"/>
          <w:numId w:val="14"/>
        </w:numPr>
        <w:spacing w:line="360" w:lineRule="auto"/>
        <w:ind w:left="1418"/>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Prior Certificated Learning</w:t>
      </w:r>
    </w:p>
    <w:p w14:paraId="63D42942" w14:textId="3910C22E" w:rsidR="00003C9C" w:rsidRPr="00F5183A" w:rsidRDefault="00003C9C" w:rsidP="13B78135">
      <w:pPr>
        <w:pStyle w:val="ListParagraph"/>
        <w:numPr>
          <w:ilvl w:val="0"/>
          <w:numId w:val="14"/>
        </w:numPr>
        <w:spacing w:line="360" w:lineRule="auto"/>
        <w:ind w:left="1418"/>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Prior Experiential Learning</w:t>
      </w:r>
    </w:p>
    <w:p w14:paraId="7C480889" w14:textId="4DF7FE72" w:rsidR="00003C9C" w:rsidRPr="00F5183A" w:rsidRDefault="00003C9C" w:rsidP="13B78135">
      <w:pPr>
        <w:pStyle w:val="ListParagraph"/>
        <w:numPr>
          <w:ilvl w:val="0"/>
          <w:numId w:val="14"/>
        </w:numPr>
        <w:spacing w:line="360" w:lineRule="auto"/>
        <w:ind w:left="1418"/>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Ap</w:t>
      </w:r>
      <w:r w:rsidR="00423CEB" w:rsidRPr="13B78135">
        <w:rPr>
          <w:rFonts w:ascii="Century Gothic" w:eastAsia="Century Gothic" w:hAnsi="Century Gothic" w:cs="Century Gothic"/>
          <w:color w:val="1F3864" w:themeColor="accent5" w:themeShade="80"/>
        </w:rPr>
        <w:t>peals</w:t>
      </w:r>
    </w:p>
    <w:p w14:paraId="444F3B7E" w14:textId="4DB38161"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Templates / Forms</w:t>
      </w:r>
    </w:p>
    <w:p w14:paraId="2BEFCBD5" w14:textId="763CBAFE" w:rsidR="00795B40" w:rsidRPr="00F5183A" w:rsidRDefault="00795B40" w:rsidP="13B78135">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There are no specific templates or forms related to this policy</w:t>
      </w:r>
    </w:p>
    <w:p w14:paraId="4F6E4F03" w14:textId="5A290EFD" w:rsidR="00943425" w:rsidRPr="00F5183A" w:rsidRDefault="00943425" w:rsidP="13B78135">
      <w:pPr>
        <w:pStyle w:val="Heading1"/>
        <w:spacing w:line="360" w:lineRule="auto"/>
        <w:ind w:left="567" w:hanging="567"/>
        <w:jc w:val="both"/>
        <w:rPr>
          <w:rFonts w:ascii="Century Gothic" w:eastAsia="Century Gothic" w:hAnsi="Century Gothic" w:cs="Century Gothic"/>
          <w:color w:val="1F3864" w:themeColor="accent5" w:themeShade="80"/>
        </w:rPr>
      </w:pPr>
      <w:r w:rsidRPr="13B78135">
        <w:rPr>
          <w:rFonts w:ascii="Century Gothic" w:eastAsia="Century Gothic" w:hAnsi="Century Gothic" w:cs="Century Gothic"/>
          <w:color w:val="1F3864" w:themeColor="accent5" w:themeShade="80"/>
        </w:rPr>
        <w:t>Related Documents</w:t>
      </w:r>
    </w:p>
    <w:p w14:paraId="28968641" w14:textId="7FA1A851" w:rsidR="00AA125C" w:rsidRPr="00F5183A" w:rsidRDefault="00AA125C" w:rsidP="13B78135">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This policy should be read in conjunction with the following documents:</w:t>
      </w:r>
    </w:p>
    <w:p w14:paraId="31A9333F" w14:textId="77777777" w:rsidR="00AA125C" w:rsidRPr="00F5183A" w:rsidRDefault="00AA125C" w:rsidP="13B78135">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24A60A40" w14:textId="5C26C2A3" w:rsidR="00F5183A" w:rsidRPr="00F5183A" w:rsidRDefault="0027488F" w:rsidP="13B78135">
      <w:pPr>
        <w:pStyle w:val="Default"/>
        <w:numPr>
          <w:ilvl w:val="0"/>
          <w:numId w:val="13"/>
        </w:numPr>
        <w:tabs>
          <w:tab w:val="clear" w:pos="720"/>
        </w:tabs>
        <w:spacing w:line="360" w:lineRule="auto"/>
        <w:ind w:left="1134" w:right="340"/>
        <w:jc w:val="both"/>
        <w:rPr>
          <w:rFonts w:ascii="Century Gothic" w:eastAsia="Century Gothic" w:hAnsi="Century Gothic" w:cs="Century Gothic"/>
          <w:color w:val="1F3864" w:themeColor="accent5" w:themeShade="80"/>
          <w:sz w:val="22"/>
          <w:szCs w:val="22"/>
        </w:rPr>
      </w:pPr>
      <w:bookmarkStart w:id="10" w:name="_Hlk14776456"/>
      <w:r w:rsidRPr="13B78135">
        <w:rPr>
          <w:rFonts w:ascii="Century Gothic" w:eastAsia="Century Gothic" w:hAnsi="Century Gothic" w:cs="Century Gothic"/>
          <w:color w:val="1F3864" w:themeColor="accent5" w:themeShade="80"/>
          <w:sz w:val="22"/>
          <w:szCs w:val="22"/>
        </w:rPr>
        <w:lastRenderedPageBreak/>
        <w:t xml:space="preserve">HE </w:t>
      </w:r>
      <w:r w:rsidR="00F5183A" w:rsidRPr="13B78135">
        <w:rPr>
          <w:rFonts w:ascii="Century Gothic" w:eastAsia="Century Gothic" w:hAnsi="Century Gothic" w:cs="Century Gothic"/>
          <w:color w:val="1F3864" w:themeColor="accent5" w:themeShade="80"/>
          <w:sz w:val="22"/>
          <w:szCs w:val="22"/>
        </w:rPr>
        <w:t xml:space="preserve">Admissions Policy </w:t>
      </w:r>
    </w:p>
    <w:p w14:paraId="10E3F725" w14:textId="5605C39A" w:rsidR="00F5183A" w:rsidRPr="00F5183A" w:rsidRDefault="0027488F" w:rsidP="13B78135">
      <w:pPr>
        <w:pStyle w:val="Default"/>
        <w:numPr>
          <w:ilvl w:val="0"/>
          <w:numId w:val="13"/>
        </w:numPr>
        <w:tabs>
          <w:tab w:val="clear" w:pos="720"/>
        </w:tabs>
        <w:spacing w:line="360" w:lineRule="auto"/>
        <w:ind w:left="1134"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HE </w:t>
      </w:r>
      <w:r w:rsidR="00F5183A" w:rsidRPr="13B78135">
        <w:rPr>
          <w:rFonts w:ascii="Century Gothic" w:eastAsia="Century Gothic" w:hAnsi="Century Gothic" w:cs="Century Gothic"/>
          <w:color w:val="1F3864" w:themeColor="accent5" w:themeShade="80"/>
          <w:sz w:val="22"/>
          <w:szCs w:val="22"/>
        </w:rPr>
        <w:t xml:space="preserve">Enrolment and Registration Policy </w:t>
      </w:r>
    </w:p>
    <w:p w14:paraId="19EA1599" w14:textId="2D92C98F" w:rsidR="00AA125C" w:rsidRPr="00F5183A" w:rsidRDefault="0052703A" w:rsidP="13B78135">
      <w:pPr>
        <w:pStyle w:val="Default"/>
        <w:numPr>
          <w:ilvl w:val="0"/>
          <w:numId w:val="13"/>
        </w:numPr>
        <w:tabs>
          <w:tab w:val="clear" w:pos="720"/>
        </w:tabs>
        <w:spacing w:line="360" w:lineRule="auto"/>
        <w:ind w:left="1134" w:right="340"/>
        <w:jc w:val="both"/>
        <w:rPr>
          <w:rFonts w:ascii="Century Gothic" w:eastAsia="Century Gothic" w:hAnsi="Century Gothic" w:cs="Century Gothic"/>
          <w:color w:val="1F3864" w:themeColor="accent5" w:themeShade="80"/>
          <w:sz w:val="22"/>
          <w:szCs w:val="22"/>
        </w:rPr>
      </w:pPr>
      <w:r w:rsidRPr="13B78135">
        <w:rPr>
          <w:rFonts w:ascii="Century Gothic" w:eastAsia="Century Gothic" w:hAnsi="Century Gothic" w:cs="Century Gothic"/>
          <w:color w:val="1F3864" w:themeColor="accent5" w:themeShade="80"/>
          <w:sz w:val="22"/>
          <w:szCs w:val="22"/>
        </w:rPr>
        <w:t xml:space="preserve">HE </w:t>
      </w:r>
      <w:r w:rsidR="00AA125C" w:rsidRPr="13B78135">
        <w:rPr>
          <w:rFonts w:ascii="Century Gothic" w:eastAsia="Century Gothic" w:hAnsi="Century Gothic" w:cs="Century Gothic"/>
          <w:color w:val="1F3864" w:themeColor="accent5" w:themeShade="80"/>
          <w:sz w:val="22"/>
          <w:szCs w:val="22"/>
        </w:rPr>
        <w:t>Internal Moderation Policy</w:t>
      </w:r>
    </w:p>
    <w:bookmarkEnd w:id="10"/>
    <w:p w14:paraId="347C0FD0" w14:textId="541FEF5B" w:rsidR="00F668CD" w:rsidRPr="00F5183A" w:rsidRDefault="00F668CD" w:rsidP="13B78135">
      <w:pPr>
        <w:spacing w:line="360" w:lineRule="auto"/>
        <w:jc w:val="both"/>
        <w:rPr>
          <w:rFonts w:ascii="Century Gothic" w:eastAsia="Century Gothic" w:hAnsi="Century Gothic" w:cs="Century Gothic"/>
          <w:color w:val="1F3864" w:themeColor="accent5" w:themeShade="80"/>
        </w:rPr>
      </w:pPr>
    </w:p>
    <w:p w14:paraId="139B79BB" w14:textId="02EBA28B" w:rsidR="32943E29" w:rsidRDefault="32943E29" w:rsidP="13B78135">
      <w:pPr>
        <w:spacing w:line="360" w:lineRule="auto"/>
        <w:jc w:val="both"/>
        <w:rPr>
          <w:rFonts w:ascii="Century Gothic" w:eastAsia="Century Gothic" w:hAnsi="Century Gothic" w:cs="Century Gothic"/>
          <w:color w:val="1F3864" w:themeColor="accent5" w:themeShade="80"/>
        </w:rPr>
      </w:pPr>
    </w:p>
    <w:sectPr w:rsidR="32943E29" w:rsidSect="00C30874">
      <w:headerReference w:type="default" r:id="rId13"/>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6081" w14:textId="77777777" w:rsidR="004A492D" w:rsidRDefault="004A492D">
      <w:r>
        <w:separator/>
      </w:r>
    </w:p>
  </w:endnote>
  <w:endnote w:type="continuationSeparator" w:id="0">
    <w:p w14:paraId="4AEC4FFE" w14:textId="77777777" w:rsidR="004A492D" w:rsidRDefault="004A492D">
      <w:r>
        <w:continuationSeparator/>
      </w:r>
    </w:p>
  </w:endnote>
  <w:endnote w:type="continuationNotice" w:id="1">
    <w:p w14:paraId="450F7FE2" w14:textId="77777777" w:rsidR="004A492D" w:rsidRDefault="004A4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4070" w14:textId="77777777" w:rsidR="004A492D" w:rsidRDefault="004A492D">
      <w:r>
        <w:separator/>
      </w:r>
    </w:p>
  </w:footnote>
  <w:footnote w:type="continuationSeparator" w:id="0">
    <w:p w14:paraId="0E4B7CE4" w14:textId="77777777" w:rsidR="004A492D" w:rsidRDefault="004A492D">
      <w:r>
        <w:continuationSeparator/>
      </w:r>
    </w:p>
  </w:footnote>
  <w:footnote w:type="continuationNotice" w:id="1">
    <w:p w14:paraId="69FD0BD2" w14:textId="77777777" w:rsidR="004A492D" w:rsidRDefault="004A4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trike w:val="0"/>
        <w:dstrike w:val="0"/>
        <w:color w:val="00000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3D541C2"/>
    <w:multiLevelType w:val="hybridMultilevel"/>
    <w:tmpl w:val="0000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15292"/>
    <w:multiLevelType w:val="multilevel"/>
    <w:tmpl w:val="A648C8C4"/>
    <w:lvl w:ilvl="0">
      <w:start w:val="1"/>
      <w:numFmt w:val="decimal"/>
      <w:lvlText w:val="%1."/>
      <w:lvlJc w:val="left"/>
      <w:pPr>
        <w:ind w:left="501" w:hanging="360"/>
      </w:pPr>
      <w:rPr>
        <w:rFonts w:hint="default"/>
      </w:rPr>
    </w:lvl>
    <w:lvl w:ilvl="1">
      <w:start w:val="5"/>
      <w:numFmt w:val="decimal"/>
      <w:lvlText w:val="%1.%2."/>
      <w:lvlJc w:val="left"/>
      <w:pPr>
        <w:ind w:left="574"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7" w15:restartNumberingAfterBreak="0">
    <w:nsid w:val="13D161C8"/>
    <w:multiLevelType w:val="hybridMultilevel"/>
    <w:tmpl w:val="EFF0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F494C"/>
    <w:multiLevelType w:val="multilevel"/>
    <w:tmpl w:val="BD82CD56"/>
    <w:lvl w:ilvl="0">
      <w:start w:val="1"/>
      <w:numFmt w:val="decimal"/>
      <w:pStyle w:val="Heading1"/>
      <w:lvlText w:val="%1."/>
      <w:lvlJc w:val="left"/>
      <w:pPr>
        <w:ind w:left="720" w:hanging="360"/>
      </w:p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632B4A"/>
    <w:multiLevelType w:val="hybridMultilevel"/>
    <w:tmpl w:val="203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4"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725317">
    <w:abstractNumId w:val="6"/>
  </w:num>
  <w:num w:numId="2" w16cid:durableId="1572888095">
    <w:abstractNumId w:val="13"/>
  </w:num>
  <w:num w:numId="3" w16cid:durableId="1054158245">
    <w:abstractNumId w:val="15"/>
  </w:num>
  <w:num w:numId="4" w16cid:durableId="498815874">
    <w:abstractNumId w:val="10"/>
  </w:num>
  <w:num w:numId="5" w16cid:durableId="18552803">
    <w:abstractNumId w:val="11"/>
  </w:num>
  <w:num w:numId="6" w16cid:durableId="916287043">
    <w:abstractNumId w:val="8"/>
  </w:num>
  <w:num w:numId="7" w16cid:durableId="1702628747">
    <w:abstractNumId w:val="9"/>
  </w:num>
  <w:num w:numId="8" w16cid:durableId="342898633">
    <w:abstractNumId w:val="14"/>
  </w:num>
  <w:num w:numId="9" w16cid:durableId="653216059">
    <w:abstractNumId w:val="8"/>
  </w:num>
  <w:num w:numId="10" w16cid:durableId="1631940632">
    <w:abstractNumId w:val="5"/>
  </w:num>
  <w:num w:numId="11" w16cid:durableId="1408308660">
    <w:abstractNumId w:val="0"/>
  </w:num>
  <w:num w:numId="12" w16cid:durableId="1804931457">
    <w:abstractNumId w:val="12"/>
  </w:num>
  <w:num w:numId="13" w16cid:durableId="1444690524">
    <w:abstractNumId w:val="1"/>
  </w:num>
  <w:num w:numId="14" w16cid:durableId="1594123194">
    <w:abstractNumId w:val="7"/>
  </w:num>
  <w:num w:numId="15" w16cid:durableId="631903117">
    <w:abstractNumId w:val="2"/>
  </w:num>
  <w:num w:numId="16" w16cid:durableId="759644134">
    <w:abstractNumId w:val="3"/>
  </w:num>
  <w:num w:numId="17" w16cid:durableId="786890879">
    <w:abstractNumId w:val="8"/>
  </w:num>
  <w:num w:numId="18" w16cid:durableId="78529598">
    <w:abstractNumId w:val="8"/>
  </w:num>
  <w:num w:numId="19" w16cid:durableId="2041975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sTQ0M7GwtDQzNTNX0lEKTi0uzszPAykwqgUAAX0UMywAAAA="/>
  </w:docVars>
  <w:rsids>
    <w:rsidRoot w:val="00FE6047"/>
    <w:rsid w:val="00003C9C"/>
    <w:rsid w:val="00004461"/>
    <w:rsid w:val="00016983"/>
    <w:rsid w:val="00022D27"/>
    <w:rsid w:val="00042912"/>
    <w:rsid w:val="0005466E"/>
    <w:rsid w:val="00060B91"/>
    <w:rsid w:val="000638A5"/>
    <w:rsid w:val="00067783"/>
    <w:rsid w:val="000A59B8"/>
    <w:rsid w:val="000B5F6F"/>
    <w:rsid w:val="000B65D8"/>
    <w:rsid w:val="000C71A3"/>
    <w:rsid w:val="000C76E4"/>
    <w:rsid w:val="000E76BB"/>
    <w:rsid w:val="00102C98"/>
    <w:rsid w:val="001176C9"/>
    <w:rsid w:val="00121FD1"/>
    <w:rsid w:val="00124413"/>
    <w:rsid w:val="00127654"/>
    <w:rsid w:val="00136073"/>
    <w:rsid w:val="0014296F"/>
    <w:rsid w:val="00143CD0"/>
    <w:rsid w:val="0014785A"/>
    <w:rsid w:val="00164404"/>
    <w:rsid w:val="001901CC"/>
    <w:rsid w:val="001953C1"/>
    <w:rsid w:val="001A22AD"/>
    <w:rsid w:val="001B3E37"/>
    <w:rsid w:val="001B5A47"/>
    <w:rsid w:val="001B7892"/>
    <w:rsid w:val="001D12E9"/>
    <w:rsid w:val="001D23E5"/>
    <w:rsid w:val="001D3B2F"/>
    <w:rsid w:val="001E03F3"/>
    <w:rsid w:val="001F1C11"/>
    <w:rsid w:val="00217519"/>
    <w:rsid w:val="0022683E"/>
    <w:rsid w:val="00226CDD"/>
    <w:rsid w:val="00227FBD"/>
    <w:rsid w:val="00231125"/>
    <w:rsid w:val="00244355"/>
    <w:rsid w:val="00251AF1"/>
    <w:rsid w:val="0025205A"/>
    <w:rsid w:val="0027488F"/>
    <w:rsid w:val="00282647"/>
    <w:rsid w:val="002A1AEE"/>
    <w:rsid w:val="002A5A35"/>
    <w:rsid w:val="002A70AC"/>
    <w:rsid w:val="002C6453"/>
    <w:rsid w:val="002D2DE8"/>
    <w:rsid w:val="002E6BEE"/>
    <w:rsid w:val="002F53FE"/>
    <w:rsid w:val="00317A42"/>
    <w:rsid w:val="00335794"/>
    <w:rsid w:val="00356E79"/>
    <w:rsid w:val="003706D1"/>
    <w:rsid w:val="0039465B"/>
    <w:rsid w:val="00396FD8"/>
    <w:rsid w:val="003D24FA"/>
    <w:rsid w:val="003D432E"/>
    <w:rsid w:val="003D76FA"/>
    <w:rsid w:val="00402683"/>
    <w:rsid w:val="00403BE4"/>
    <w:rsid w:val="00412D4E"/>
    <w:rsid w:val="00423CEB"/>
    <w:rsid w:val="00437DC5"/>
    <w:rsid w:val="00441A6B"/>
    <w:rsid w:val="00441FAE"/>
    <w:rsid w:val="0045368C"/>
    <w:rsid w:val="0045747F"/>
    <w:rsid w:val="00463F67"/>
    <w:rsid w:val="00486961"/>
    <w:rsid w:val="00493C80"/>
    <w:rsid w:val="004A492D"/>
    <w:rsid w:val="004B38D6"/>
    <w:rsid w:val="004C69B6"/>
    <w:rsid w:val="004E44CF"/>
    <w:rsid w:val="004E47B3"/>
    <w:rsid w:val="004F20FB"/>
    <w:rsid w:val="004F608E"/>
    <w:rsid w:val="005004BF"/>
    <w:rsid w:val="00520B65"/>
    <w:rsid w:val="00523F44"/>
    <w:rsid w:val="0052585F"/>
    <w:rsid w:val="0052703A"/>
    <w:rsid w:val="00564477"/>
    <w:rsid w:val="005711A8"/>
    <w:rsid w:val="005746F1"/>
    <w:rsid w:val="00586F5C"/>
    <w:rsid w:val="00590B7F"/>
    <w:rsid w:val="0059402C"/>
    <w:rsid w:val="005C4A5E"/>
    <w:rsid w:val="005C5339"/>
    <w:rsid w:val="005D470D"/>
    <w:rsid w:val="00601E67"/>
    <w:rsid w:val="0061327D"/>
    <w:rsid w:val="00631305"/>
    <w:rsid w:val="0063755D"/>
    <w:rsid w:val="00640033"/>
    <w:rsid w:val="00642E9B"/>
    <w:rsid w:val="0067378F"/>
    <w:rsid w:val="00684E80"/>
    <w:rsid w:val="0069443B"/>
    <w:rsid w:val="006A76D0"/>
    <w:rsid w:val="006D5827"/>
    <w:rsid w:val="006D726E"/>
    <w:rsid w:val="006E060C"/>
    <w:rsid w:val="006F43BE"/>
    <w:rsid w:val="00715892"/>
    <w:rsid w:val="0072610F"/>
    <w:rsid w:val="00730911"/>
    <w:rsid w:val="007672D1"/>
    <w:rsid w:val="00774E6D"/>
    <w:rsid w:val="00787818"/>
    <w:rsid w:val="0079309F"/>
    <w:rsid w:val="00795B40"/>
    <w:rsid w:val="00795DD6"/>
    <w:rsid w:val="007D5790"/>
    <w:rsid w:val="007E670C"/>
    <w:rsid w:val="007E75EE"/>
    <w:rsid w:val="00824D2C"/>
    <w:rsid w:val="0086572D"/>
    <w:rsid w:val="00867C3B"/>
    <w:rsid w:val="008B06B5"/>
    <w:rsid w:val="008B3C99"/>
    <w:rsid w:val="008D3EFA"/>
    <w:rsid w:val="008D61FA"/>
    <w:rsid w:val="00916A3A"/>
    <w:rsid w:val="00921B39"/>
    <w:rsid w:val="00925F20"/>
    <w:rsid w:val="00926A4E"/>
    <w:rsid w:val="009363AF"/>
    <w:rsid w:val="00943425"/>
    <w:rsid w:val="00945B13"/>
    <w:rsid w:val="00946903"/>
    <w:rsid w:val="009542F2"/>
    <w:rsid w:val="00973A96"/>
    <w:rsid w:val="0097443B"/>
    <w:rsid w:val="00984EBF"/>
    <w:rsid w:val="0098552B"/>
    <w:rsid w:val="009956F6"/>
    <w:rsid w:val="009D6E68"/>
    <w:rsid w:val="009E60E4"/>
    <w:rsid w:val="009E686F"/>
    <w:rsid w:val="00A0020B"/>
    <w:rsid w:val="00A02AE9"/>
    <w:rsid w:val="00A156BA"/>
    <w:rsid w:val="00A224D8"/>
    <w:rsid w:val="00A25487"/>
    <w:rsid w:val="00A270D9"/>
    <w:rsid w:val="00A524F0"/>
    <w:rsid w:val="00A66AAA"/>
    <w:rsid w:val="00A721CF"/>
    <w:rsid w:val="00A87889"/>
    <w:rsid w:val="00AA034A"/>
    <w:rsid w:val="00AA125C"/>
    <w:rsid w:val="00AC58F9"/>
    <w:rsid w:val="00AD414E"/>
    <w:rsid w:val="00AF1226"/>
    <w:rsid w:val="00B02D70"/>
    <w:rsid w:val="00B0502F"/>
    <w:rsid w:val="00B45D88"/>
    <w:rsid w:val="00B46DF1"/>
    <w:rsid w:val="00B53F59"/>
    <w:rsid w:val="00B8544C"/>
    <w:rsid w:val="00B92F73"/>
    <w:rsid w:val="00BA7724"/>
    <w:rsid w:val="00BB32E6"/>
    <w:rsid w:val="00BB76AE"/>
    <w:rsid w:val="00BC54C5"/>
    <w:rsid w:val="00BD6EBD"/>
    <w:rsid w:val="00BE2C4F"/>
    <w:rsid w:val="00BE446C"/>
    <w:rsid w:val="00C040B6"/>
    <w:rsid w:val="00C30874"/>
    <w:rsid w:val="00C353A7"/>
    <w:rsid w:val="00C435B2"/>
    <w:rsid w:val="00C43765"/>
    <w:rsid w:val="00C509DB"/>
    <w:rsid w:val="00C61C39"/>
    <w:rsid w:val="00C6409B"/>
    <w:rsid w:val="00C8079A"/>
    <w:rsid w:val="00C81735"/>
    <w:rsid w:val="00C82D27"/>
    <w:rsid w:val="00CB4959"/>
    <w:rsid w:val="00CD7835"/>
    <w:rsid w:val="00CF67BA"/>
    <w:rsid w:val="00D011B3"/>
    <w:rsid w:val="00D042CE"/>
    <w:rsid w:val="00D1347C"/>
    <w:rsid w:val="00D13E59"/>
    <w:rsid w:val="00D50BE0"/>
    <w:rsid w:val="00D718A6"/>
    <w:rsid w:val="00D743FA"/>
    <w:rsid w:val="00DB3A6A"/>
    <w:rsid w:val="00DC3D36"/>
    <w:rsid w:val="00DC5F11"/>
    <w:rsid w:val="00DE0D73"/>
    <w:rsid w:val="00DF3750"/>
    <w:rsid w:val="00E12E0F"/>
    <w:rsid w:val="00E15676"/>
    <w:rsid w:val="00E42B55"/>
    <w:rsid w:val="00E51A0F"/>
    <w:rsid w:val="00E61111"/>
    <w:rsid w:val="00E725DC"/>
    <w:rsid w:val="00E735B5"/>
    <w:rsid w:val="00E73C83"/>
    <w:rsid w:val="00E81F57"/>
    <w:rsid w:val="00E82844"/>
    <w:rsid w:val="00E8613F"/>
    <w:rsid w:val="00EA7FED"/>
    <w:rsid w:val="00EB7065"/>
    <w:rsid w:val="00EC1818"/>
    <w:rsid w:val="00F10E05"/>
    <w:rsid w:val="00F26655"/>
    <w:rsid w:val="00F3575A"/>
    <w:rsid w:val="00F402D0"/>
    <w:rsid w:val="00F41168"/>
    <w:rsid w:val="00F427E6"/>
    <w:rsid w:val="00F44027"/>
    <w:rsid w:val="00F4422F"/>
    <w:rsid w:val="00F5183A"/>
    <w:rsid w:val="00F61CA5"/>
    <w:rsid w:val="00F62D56"/>
    <w:rsid w:val="00F668CD"/>
    <w:rsid w:val="00F8365C"/>
    <w:rsid w:val="00F8383C"/>
    <w:rsid w:val="00F867B4"/>
    <w:rsid w:val="00F873BF"/>
    <w:rsid w:val="00F94243"/>
    <w:rsid w:val="00FA04F6"/>
    <w:rsid w:val="00FB2503"/>
    <w:rsid w:val="00FB7DFF"/>
    <w:rsid w:val="00FC2CC1"/>
    <w:rsid w:val="00FC4A7F"/>
    <w:rsid w:val="00FC6E48"/>
    <w:rsid w:val="00FD0096"/>
    <w:rsid w:val="00FE1C35"/>
    <w:rsid w:val="00FE6047"/>
    <w:rsid w:val="00FF5427"/>
    <w:rsid w:val="0336DF30"/>
    <w:rsid w:val="09F32150"/>
    <w:rsid w:val="0BE5AAB6"/>
    <w:rsid w:val="0ED92A5A"/>
    <w:rsid w:val="13B78135"/>
    <w:rsid w:val="1436986D"/>
    <w:rsid w:val="16D7E9D2"/>
    <w:rsid w:val="1838FCC2"/>
    <w:rsid w:val="21981823"/>
    <w:rsid w:val="272D4650"/>
    <w:rsid w:val="2E17481E"/>
    <w:rsid w:val="32943E29"/>
    <w:rsid w:val="34A13108"/>
    <w:rsid w:val="3C21F812"/>
    <w:rsid w:val="3C9205FA"/>
    <w:rsid w:val="3F841855"/>
    <w:rsid w:val="40BEB407"/>
    <w:rsid w:val="44EA2E2A"/>
    <w:rsid w:val="4645C7CF"/>
    <w:rsid w:val="4953808B"/>
    <w:rsid w:val="49CB97B0"/>
    <w:rsid w:val="4B4BD11A"/>
    <w:rsid w:val="4E95C853"/>
    <w:rsid w:val="4EEB3E45"/>
    <w:rsid w:val="4FC2EFE0"/>
    <w:rsid w:val="512CF0DB"/>
    <w:rsid w:val="53AAA5A8"/>
    <w:rsid w:val="53FD6BD7"/>
    <w:rsid w:val="54FC607D"/>
    <w:rsid w:val="578D34CD"/>
    <w:rsid w:val="5AC0B73B"/>
    <w:rsid w:val="5C5C879C"/>
    <w:rsid w:val="5CB4B558"/>
    <w:rsid w:val="616F83D3"/>
    <w:rsid w:val="63947F66"/>
    <w:rsid w:val="649D4BD9"/>
    <w:rsid w:val="650498A2"/>
    <w:rsid w:val="651DB55E"/>
    <w:rsid w:val="675B5AEA"/>
    <w:rsid w:val="6856993E"/>
    <w:rsid w:val="68788985"/>
    <w:rsid w:val="69B13390"/>
    <w:rsid w:val="6B1D3F22"/>
    <w:rsid w:val="6CEA0297"/>
    <w:rsid w:val="723D544C"/>
    <w:rsid w:val="72856D27"/>
    <w:rsid w:val="7A1B68AF"/>
    <w:rsid w:val="7A21355A"/>
    <w:rsid w:val="7C9FD6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60122D2B-ED1D-46D6-A995-1BA4336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uiPriority w:val="39"/>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A125C"/>
    <w:pPr>
      <w:widowControl w:val="0"/>
      <w:suppressAutoHyphens/>
    </w:pPr>
    <w:rPr>
      <w:rFonts w:ascii="Arial" w:eastAsia="SimSun" w:hAnsi="Arial" w:cs="Arial"/>
      <w:color w:val="000000"/>
      <w:kern w:val="1"/>
      <w:sz w:val="24"/>
      <w:szCs w:val="24"/>
      <w:lang w:eastAsia="zh-CN" w:bidi="hi-IN"/>
    </w:rPr>
  </w:style>
  <w:style w:type="character" w:customStyle="1" w:styleId="HeaderChar">
    <w:name w:val="Header Char"/>
    <w:basedOn w:val="DefaultParagraphFont"/>
    <w:link w:val="Header"/>
    <w:uiPriority w:val="99"/>
    <w:rsid w:val="00AA125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derbycollegeac.sharepoint.com/:w:/r/sites/IPPolicyManagement/Policy%20Documents/Staff%20Policies/Higher%20Education/HE%20Recognition%20of%20Prior%20Learning%20Policy/HE%20Recognition%20of%20Prior%20Learning%20Policy%20Supporting%20Document/HE%20Recognition%20of%20Prior%20Learning%20Procedure.docx?d=w22be280ab3dc4266a001b66532e6d8e9&amp;csf=1&amp;web=1&amp;e=cUquG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SDLinkedinsidePolicy xmlns="1b5ba183-116c-4df8-b4ca-532a6528ee32">true</SDLinkedinsidePolicy>
    <EmailReminder xmlns="1b5ba183-116c-4df8-b4ca-532a6528ee32">false</EmailRemi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d151e6ddb9b301a42348f56fe06d05e8">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46852912d7e68d81fd9aff111b58d7"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48643-116A-4DC6-AF79-CC22437341E7}">
  <ds:schemaRefs>
    <ds:schemaRef ds:uri="http://schemas.microsoft.com/sharepoint/v3/contenttype/forms"/>
  </ds:schemaRefs>
</ds:datastoreItem>
</file>

<file path=customXml/itemProps2.xml><?xml version="1.0" encoding="utf-8"?>
<ds:datastoreItem xmlns:ds="http://schemas.openxmlformats.org/officeDocument/2006/customXml" ds:itemID="{DC2E9070-39F8-4C56-BDF3-01E24B0DAD29}">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3.xml><?xml version="1.0" encoding="utf-8"?>
<ds:datastoreItem xmlns:ds="http://schemas.openxmlformats.org/officeDocument/2006/customXml" ds:itemID="{8CA34874-6BDF-4EE5-B21A-94EAC5166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1867</Words>
  <Characters>10648</Characters>
  <Application>Microsoft Office Word</Application>
  <DocSecurity>0</DocSecurity>
  <Lines>88</Lines>
  <Paragraphs>24</Paragraphs>
  <ScaleCrop>false</ScaleCrop>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2026-04-13T15:10:00Z</dcterms:created>
  <dcterms:modified xsi:type="dcterms:W3CDTF">2026-04-13T15:10:00Z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UploadBy">
    <vt:lpwstr>28</vt:lpwstr>
  </property>
  <property fmtid="{D5CDD505-2E9C-101B-9397-08002B2CF9AE}" pid="4" name="Approved Users Count">
    <vt:r8>0</vt:r8>
  </property>
  <property fmtid="{D5CDD505-2E9C-101B-9397-08002B2CF9AE}" pid="5" name="Reviewed Users Count">
    <vt:r8>0</vt:r8>
  </property>
  <property fmtid="{D5CDD505-2E9C-101B-9397-08002B2CF9AE}" pid="6" name="Event">
    <vt:lpwstr>Request Reject</vt:lpwstr>
  </property>
  <property fmtid="{D5CDD505-2E9C-101B-9397-08002B2CF9AE}" pid="7" name="DateCreated">
    <vt:filetime>2021-07-13T13:40:18Z</vt:filetime>
  </property>
  <property fmtid="{D5CDD505-2E9C-101B-9397-08002B2CF9AE}" pid="8" name="DocumentOwner">
    <vt:lpwstr>Kate Martin</vt:lpwstr>
  </property>
  <property fmtid="{D5CDD505-2E9C-101B-9397-08002B2CF9AE}" pid="9" name="AssignedTo">
    <vt:lpwstr>48;#i:0#.f|membership|julie.dorrington@derby-college.ac.uk</vt:lpwstr>
  </property>
  <property fmtid="{D5CDD505-2E9C-101B-9397-08002B2CF9AE}" pid="10" name="PublishStatus">
    <vt:lpwstr>Published</vt:lpwstr>
  </property>
  <property fmtid="{D5CDD505-2E9C-101B-9397-08002B2CF9AE}" pid="11" name="CompletedInstance5">
    <vt:lpwstr>4ea0a79f-a647-48fd-a725-c127b4ffa47a,aec11b5b-59c7-4748-887d-b244e4749b9a</vt:lpwstr>
  </property>
  <property fmtid="{D5CDD505-2E9C-101B-9397-08002B2CF9AE}" pid="12" name="RunningLastInstance">
    <vt:lpwstr>08585222831031826601966616214CU150-2</vt:lpwstr>
  </property>
  <property fmtid="{D5CDD505-2E9C-101B-9397-08002B2CF9AE}" pid="13" name="CompletedInstance2">
    <vt:lpwstr>81662c81-93ef-4248-bb13-7f5369610c34</vt:lpwstr>
  </property>
  <property fmtid="{D5CDD505-2E9C-101B-9397-08002B2CF9AE}" pid="14" name="CompletedInstance">
    <vt:lpwstr>08585486418457515122198533204CU149-1-202303201449458</vt:lpwstr>
  </property>
  <property fmtid="{D5CDD505-2E9C-101B-9397-08002B2CF9AE}" pid="15" name="DateStarted">
    <vt:filetime>2023-03-20T14:49:44Z</vt:filetime>
  </property>
  <property fmtid="{D5CDD505-2E9C-101B-9397-08002B2CF9AE}" pid="16" name="MSIP_Label_a8660e0d-c47b-41e7-a62b-fb6eff85b393_Enabled">
    <vt:lpwstr>true</vt:lpwstr>
  </property>
  <property fmtid="{D5CDD505-2E9C-101B-9397-08002B2CF9AE}" pid="17" name="MSIP_Label_a8660e0d-c47b-41e7-a62b-fb6eff85b393_SetDate">
    <vt:lpwstr>2023-03-20T14:59:31Z</vt:lpwstr>
  </property>
  <property fmtid="{D5CDD505-2E9C-101B-9397-08002B2CF9AE}" pid="18" name="MSIP_Label_a8660e0d-c47b-41e7-a62b-fb6eff85b393_Method">
    <vt:lpwstr>Standard</vt:lpwstr>
  </property>
  <property fmtid="{D5CDD505-2E9C-101B-9397-08002B2CF9AE}" pid="19" name="MSIP_Label_a8660e0d-c47b-41e7-a62b-fb6eff85b393_Name">
    <vt:lpwstr>defa4170-0d19-0005-0004-bc88714345d2</vt:lpwstr>
  </property>
  <property fmtid="{D5CDD505-2E9C-101B-9397-08002B2CF9AE}" pid="20" name="MSIP_Label_a8660e0d-c47b-41e7-a62b-fb6eff85b393_SiteId">
    <vt:lpwstr>7584d747-9421-477d-8345-bedc5d73bc46</vt:lpwstr>
  </property>
  <property fmtid="{D5CDD505-2E9C-101B-9397-08002B2CF9AE}" pid="21" name="MSIP_Label_a8660e0d-c47b-41e7-a62b-fb6eff85b393_ActionId">
    <vt:lpwstr>f3b4378a-20bc-4c76-b1c8-ebda27022593</vt:lpwstr>
  </property>
  <property fmtid="{D5CDD505-2E9C-101B-9397-08002B2CF9AE}" pid="22" name="MSIP_Label_a8660e0d-c47b-41e7-a62b-fb6eff85b393_ContentBits">
    <vt:lpwstr>0</vt:lpwstr>
  </property>
  <property fmtid="{D5CDD505-2E9C-101B-9397-08002B2CF9AE}" pid="23" name="DateReviewCompleted">
    <vt:filetime>2023-03-21T09:15:21Z</vt:filetime>
  </property>
  <property fmtid="{D5CDD505-2E9C-101B-9397-08002B2CF9AE}" pid="24" name="ApprovedDate">
    <vt:filetime>2023-03-21T09:19:03Z</vt:filetime>
  </property>
  <property fmtid="{D5CDD505-2E9C-101B-9397-08002B2CF9AE}" pid="25" name="DatePublished">
    <vt:filetime>2023-03-21T14:07:57Z</vt:filetime>
  </property>
  <property fmtid="{D5CDD505-2E9C-101B-9397-08002B2CF9AE}" pid="26" name="ReviewInterval">
    <vt:r8>365</vt:r8>
  </property>
  <property fmtid="{D5CDD505-2E9C-101B-9397-08002B2CF9AE}" pid="27" name="NextReviewDate">
    <vt:filetime>2023-12-21T00:00:00Z</vt:filetime>
  </property>
  <property fmtid="{D5CDD505-2E9C-101B-9397-08002B2CF9AE}" pid="28" name="EndDate">
    <vt:filetime>2024-03-20T00:00:00Z</vt:filetime>
  </property>
  <property fmtid="{D5CDD505-2E9C-101B-9397-08002B2CF9AE}" pid="29" name="MediaServiceImageTags">
    <vt:lpwstr/>
  </property>
</Properties>
</file>