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2DDCD640" w14:textId="66FC19AB" w:rsidR="001176C9" w:rsidRDefault="3C049DC4" w:rsidP="3C049DC4">
      <w:r>
        <w:rPr>
          <w:noProof/>
        </w:rPr>
        <w:drawing>
          <wp:anchor distT="0" distB="0" distL="114300" distR="114300" simplePos="0" relativeHeight="251658240" behindDoc="0" locked="0" layoutInCell="1" allowOverlap="1" wp14:anchorId="3BDF963F" wp14:editId="67D274F1">
            <wp:simplePos x="0" y="0"/>
            <wp:positionH relativeFrom="column">
              <wp:align>right</wp:align>
            </wp:positionH>
            <wp:positionV relativeFrom="paragraph">
              <wp:posOffset>0</wp:posOffset>
            </wp:positionV>
            <wp:extent cx="920576" cy="1072989"/>
            <wp:effectExtent l="0" t="0" r="0" b="0"/>
            <wp:wrapNone/>
            <wp:docPr id="8507441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44170" name=""/>
                    <pic:cNvPicPr/>
                  </pic:nvPicPr>
                  <pic:blipFill>
                    <a:blip r:embed="rId10">
                      <a:extLst>
                        <a:ext uri="{28A0092B-C50C-407E-A947-70E740481C1C}">
                          <a14:useLocalDpi xmlns:a14="http://schemas.microsoft.com/office/drawing/2010/main" val="0"/>
                        </a:ext>
                      </a:extLst>
                    </a:blip>
                    <a:stretch>
                      <a:fillRect/>
                    </a:stretch>
                  </pic:blipFill>
                  <pic:spPr>
                    <a:xfrm>
                      <a:off x="0" y="0"/>
                      <a:ext cx="920576" cy="1072989"/>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p>
    <w:bookmarkEnd w:id="0"/>
    <w:p w14:paraId="3DF1D635" w14:textId="77777777" w:rsidR="00FE6047" w:rsidRPr="004737FC" w:rsidRDefault="00FE6047" w:rsidP="3C049DC4">
      <w:pPr>
        <w:spacing w:before="400" w:line="360" w:lineRule="auto"/>
        <w:rPr>
          <w:rFonts w:ascii="Century Gothic" w:eastAsia="Century Gothic" w:hAnsi="Century Gothic" w:cs="Century Gothic"/>
          <w:b/>
          <w:bCs/>
          <w:color w:val="1F3864" w:themeColor="accent5" w:themeShade="80"/>
          <w:spacing w:val="-20"/>
          <w:sz w:val="48"/>
          <w:szCs w:val="48"/>
        </w:rPr>
      </w:pPr>
      <w:r w:rsidRPr="3C049DC4">
        <w:rPr>
          <w:rFonts w:ascii="Century Gothic" w:eastAsia="Century Gothic" w:hAnsi="Century Gothic" w:cs="Century Gothic"/>
          <w:b/>
          <w:bCs/>
          <w:color w:val="1F3864" w:themeColor="accent5" w:themeShade="80"/>
          <w:spacing w:val="-20"/>
          <w:sz w:val="48"/>
          <w:szCs w:val="48"/>
        </w:rPr>
        <w:t>DERBY COLLEGE GROUP</w:t>
      </w:r>
    </w:p>
    <w:p w14:paraId="01B37FBB" w14:textId="6B5913F7" w:rsidR="00FE6047" w:rsidRPr="004737FC" w:rsidRDefault="00FE6047" w:rsidP="3C049DC4">
      <w:pPr>
        <w:spacing w:line="360" w:lineRule="auto"/>
        <w:ind w:left="720" w:firstLine="720"/>
        <w:rPr>
          <w:rFonts w:ascii="Century Gothic" w:eastAsia="Century Gothic" w:hAnsi="Century Gothic" w:cs="Century Gothic"/>
          <w:b/>
          <w:bCs/>
          <w:color w:val="1F3864" w:themeColor="accent5" w:themeShade="80"/>
          <w:spacing w:val="-20"/>
          <w:sz w:val="48"/>
          <w:szCs w:val="48"/>
        </w:rPr>
      </w:pPr>
      <w:r w:rsidRPr="3C049DC4">
        <w:rPr>
          <w:rFonts w:ascii="Century Gothic" w:eastAsia="Century Gothic" w:hAnsi="Century Gothic" w:cs="Century Gothic"/>
          <w:b/>
          <w:bCs/>
          <w:color w:val="1F3864" w:themeColor="accent5" w:themeShade="80"/>
          <w:spacing w:val="-20"/>
          <w:sz w:val="48"/>
          <w:szCs w:val="48"/>
        </w:rPr>
        <w:t>POLICY</w:t>
      </w:r>
    </w:p>
    <w:p w14:paraId="7F308755" w14:textId="0E6F9030" w:rsidR="00FE6047" w:rsidRPr="00FE6047" w:rsidRDefault="00D22223" w:rsidP="3C049DC4">
      <w:pPr>
        <w:spacing w:before="1440" w:after="240" w:line="360" w:lineRule="auto"/>
        <w:rPr>
          <w:rFonts w:ascii="Century Gothic" w:eastAsia="Century Gothic" w:hAnsi="Century Gothic" w:cs="Century Gothic"/>
          <w:color w:val="1F3864" w:themeColor="accent5" w:themeShade="80"/>
          <w:sz w:val="56"/>
          <w:szCs w:val="56"/>
        </w:rPr>
      </w:pPr>
      <w:r w:rsidRPr="3C049DC4">
        <w:rPr>
          <w:rFonts w:ascii="Century Gothic" w:eastAsia="Century Gothic" w:hAnsi="Century Gothic" w:cs="Century Gothic"/>
          <w:color w:val="1F3864" w:themeColor="accent5" w:themeShade="80"/>
          <w:sz w:val="56"/>
          <w:szCs w:val="56"/>
        </w:rPr>
        <w:t xml:space="preserve">HE </w:t>
      </w:r>
      <w:r w:rsidR="000009A7" w:rsidRPr="3C049DC4">
        <w:rPr>
          <w:rFonts w:ascii="Century Gothic" w:eastAsia="Century Gothic" w:hAnsi="Century Gothic" w:cs="Century Gothic"/>
          <w:color w:val="1F3864" w:themeColor="accent5" w:themeShade="80"/>
          <w:sz w:val="56"/>
          <w:szCs w:val="56"/>
        </w:rPr>
        <w:t>Admissions Policy</w:t>
      </w:r>
    </w:p>
    <w:p w14:paraId="65088FFA" w14:textId="6E654B09" w:rsidR="00FE6047" w:rsidRDefault="00FE6047" w:rsidP="3C049DC4">
      <w:pPr>
        <w:spacing w:line="360" w:lineRule="auto"/>
        <w:ind w:left="4536" w:hanging="4536"/>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Policy Number:</w:t>
      </w:r>
      <w:r>
        <w:tab/>
      </w:r>
      <w:r w:rsidR="00202722" w:rsidRPr="3C049DC4">
        <w:rPr>
          <w:rFonts w:ascii="Century Gothic" w:eastAsia="Century Gothic" w:hAnsi="Century Gothic" w:cs="Century Gothic"/>
          <w:color w:val="1F3864" w:themeColor="accent5" w:themeShade="80"/>
        </w:rPr>
        <w:t>HE00</w:t>
      </w:r>
      <w:r w:rsidR="5C5F275E" w:rsidRPr="3C049DC4">
        <w:rPr>
          <w:rFonts w:ascii="Century Gothic" w:eastAsia="Century Gothic" w:hAnsi="Century Gothic" w:cs="Century Gothic"/>
          <w:color w:val="1F3864" w:themeColor="accent5" w:themeShade="80"/>
        </w:rPr>
        <w:t>4</w:t>
      </w:r>
    </w:p>
    <w:p w14:paraId="14E26CFF" w14:textId="208C2094" w:rsidR="00FE6047" w:rsidRDefault="00FE6047" w:rsidP="3C049DC4">
      <w:pPr>
        <w:spacing w:line="360" w:lineRule="auto"/>
        <w:ind w:left="4536" w:hanging="4536"/>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Executive Owner:</w:t>
      </w:r>
      <w:r>
        <w:tab/>
      </w:r>
      <w:r w:rsidR="00202722" w:rsidRPr="3C049DC4">
        <w:rPr>
          <w:rFonts w:ascii="Century Gothic" w:eastAsia="Century Gothic" w:hAnsi="Century Gothic" w:cs="Century Gothic"/>
          <w:color w:val="1F3864" w:themeColor="accent5" w:themeShade="80"/>
        </w:rPr>
        <w:t>Deputy CEO</w:t>
      </w:r>
    </w:p>
    <w:p w14:paraId="2FAC4BB4" w14:textId="29B46059" w:rsidR="00FE6047" w:rsidRDefault="00FE6047" w:rsidP="3C049DC4">
      <w:pPr>
        <w:spacing w:line="360" w:lineRule="auto"/>
        <w:ind w:left="4536" w:hanging="4536"/>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Owning Strategy / Department:</w:t>
      </w:r>
      <w:r>
        <w:tab/>
      </w:r>
      <w:r w:rsidR="000009A7" w:rsidRPr="3C049DC4">
        <w:rPr>
          <w:rFonts w:ascii="Century Gothic" w:eastAsia="Century Gothic" w:hAnsi="Century Gothic" w:cs="Century Gothic"/>
          <w:color w:val="1F3864" w:themeColor="accent5" w:themeShade="80"/>
        </w:rPr>
        <w:t>Higher Education Department</w:t>
      </w:r>
    </w:p>
    <w:p w14:paraId="384CB6DD" w14:textId="0C11A911" w:rsidR="00FE6047" w:rsidRDefault="00FE6047" w:rsidP="3C049DC4">
      <w:pPr>
        <w:spacing w:line="360" w:lineRule="auto"/>
        <w:ind w:left="4536" w:hanging="4536"/>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Approval Board / Committee / Group:</w:t>
      </w:r>
      <w:r>
        <w:tab/>
      </w:r>
      <w:r w:rsidR="000009A7" w:rsidRPr="3C049DC4">
        <w:rPr>
          <w:rFonts w:ascii="Century Gothic" w:eastAsia="Century Gothic" w:hAnsi="Century Gothic" w:cs="Century Gothic"/>
          <w:color w:val="1F3864" w:themeColor="accent5" w:themeShade="80"/>
        </w:rPr>
        <w:t>HE Academic Board</w:t>
      </w:r>
    </w:p>
    <w:p w14:paraId="41CCAA4D" w14:textId="291219AA" w:rsidR="00FE6047" w:rsidRDefault="00FE6047" w:rsidP="3C049DC4">
      <w:pPr>
        <w:spacing w:line="360" w:lineRule="auto"/>
        <w:ind w:left="4536" w:hanging="4536"/>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User Group:</w:t>
      </w:r>
      <w:r>
        <w:tab/>
      </w:r>
      <w:r w:rsidR="000009A7" w:rsidRPr="3C049DC4">
        <w:rPr>
          <w:rFonts w:ascii="Century Gothic" w:eastAsia="Century Gothic" w:hAnsi="Century Gothic" w:cs="Century Gothic"/>
          <w:color w:val="1F3864" w:themeColor="accent5" w:themeShade="80"/>
        </w:rPr>
        <w:t>Higher Education</w:t>
      </w:r>
    </w:p>
    <w:p w14:paraId="0F48029F" w14:textId="1AEF3AEE" w:rsidR="00FE6047" w:rsidRDefault="00FE6047" w:rsidP="3C049DC4">
      <w:pPr>
        <w:spacing w:line="360" w:lineRule="auto"/>
        <w:ind w:left="4536" w:hanging="4536"/>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Relevant To:</w:t>
      </w:r>
      <w:r>
        <w:tab/>
      </w:r>
      <w:r w:rsidR="000009A7" w:rsidRPr="3C049DC4">
        <w:rPr>
          <w:rFonts w:ascii="Century Gothic" w:eastAsia="Century Gothic" w:hAnsi="Century Gothic" w:cs="Century Gothic"/>
          <w:color w:val="1F3864" w:themeColor="accent5" w:themeShade="80"/>
        </w:rPr>
        <w:t>Higher Education students</w:t>
      </w:r>
    </w:p>
    <w:p w14:paraId="5186AB06" w14:textId="2B535593" w:rsidR="00493C80" w:rsidRDefault="00FE6047" w:rsidP="3C049DC4">
      <w:pPr>
        <w:spacing w:line="360" w:lineRule="auto"/>
        <w:ind w:left="4536" w:hanging="4536"/>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Implementation Date:</w:t>
      </w:r>
      <w:r>
        <w:tab/>
      </w:r>
      <w:r w:rsidR="000009A7" w:rsidRPr="3C049DC4">
        <w:rPr>
          <w:rFonts w:ascii="Century Gothic" w:eastAsia="Century Gothic" w:hAnsi="Century Gothic" w:cs="Century Gothic"/>
          <w:color w:val="1F3864" w:themeColor="accent5" w:themeShade="80"/>
        </w:rPr>
        <w:t>October 2019</w:t>
      </w:r>
      <w:r w:rsidR="00493C80" w:rsidRPr="3C049DC4">
        <w:rPr>
          <w:rFonts w:ascii="Century Gothic" w:eastAsia="Century Gothic" w:hAnsi="Century Gothic" w:cs="Century Gothic"/>
          <w:color w:val="1F3864" w:themeColor="accent5" w:themeShade="80"/>
        </w:rPr>
        <w:t xml:space="preserve"> </w:t>
      </w:r>
    </w:p>
    <w:p w14:paraId="69C7845F" w14:textId="49D5B5A5" w:rsidR="00493C80" w:rsidRDefault="00FE6047" w:rsidP="3C049DC4">
      <w:pPr>
        <w:spacing w:line="360" w:lineRule="auto"/>
        <w:ind w:left="4536" w:hanging="4536"/>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Approval Date:</w:t>
      </w:r>
      <w:r>
        <w:tab/>
      </w:r>
      <w:r w:rsidR="000009A7" w:rsidRPr="3C049DC4">
        <w:rPr>
          <w:rFonts w:ascii="Century Gothic" w:eastAsia="Century Gothic" w:hAnsi="Century Gothic" w:cs="Century Gothic"/>
          <w:color w:val="1F3864" w:themeColor="accent5" w:themeShade="80"/>
        </w:rPr>
        <w:t>July 2019</w:t>
      </w:r>
    </w:p>
    <w:p w14:paraId="26A651EF" w14:textId="7EDAABED" w:rsidR="00F27FB8" w:rsidRDefault="54DD76F4" w:rsidP="3C049DC4">
      <w:pPr>
        <w:spacing w:line="360" w:lineRule="auto"/>
        <w:ind w:left="4536" w:hanging="4536"/>
        <w:rPr>
          <w:rFonts w:ascii="Century Gothic" w:eastAsia="Century Gothic" w:hAnsi="Century Gothic" w:cs="Century Gothic"/>
          <w:color w:val="1F3864" w:themeColor="accent5" w:themeShade="80"/>
        </w:rPr>
      </w:pPr>
      <w:r w:rsidRPr="3368239A">
        <w:rPr>
          <w:rFonts w:ascii="Century Gothic" w:eastAsia="Century Gothic" w:hAnsi="Century Gothic" w:cs="Century Gothic"/>
          <w:color w:val="1F3864" w:themeColor="accent5" w:themeShade="80"/>
        </w:rPr>
        <w:t xml:space="preserve">Review </w:t>
      </w:r>
      <w:r w:rsidR="4B0EBDB9" w:rsidRPr="3368239A">
        <w:rPr>
          <w:rFonts w:ascii="Century Gothic" w:eastAsia="Century Gothic" w:hAnsi="Century Gothic" w:cs="Century Gothic"/>
          <w:color w:val="1F3864" w:themeColor="accent5" w:themeShade="80"/>
        </w:rPr>
        <w:t>Period S</w:t>
      </w:r>
      <w:r w:rsidRPr="3368239A">
        <w:rPr>
          <w:rFonts w:ascii="Century Gothic" w:eastAsia="Century Gothic" w:hAnsi="Century Gothic" w:cs="Century Gothic"/>
          <w:color w:val="1F3864" w:themeColor="accent5" w:themeShade="80"/>
        </w:rPr>
        <w:t xml:space="preserve">tart Date: </w:t>
      </w:r>
      <w:r>
        <w:tab/>
      </w:r>
      <w:r w:rsidR="49784BE2" w:rsidRPr="3368239A">
        <w:rPr>
          <w:rFonts w:ascii="Century Gothic" w:eastAsia="Century Gothic" w:hAnsi="Century Gothic" w:cs="Century Gothic"/>
          <w:color w:val="1F3864" w:themeColor="accent5" w:themeShade="80"/>
        </w:rPr>
        <w:t>December</w:t>
      </w:r>
      <w:r w:rsidR="15092774" w:rsidRPr="3368239A">
        <w:rPr>
          <w:rFonts w:ascii="Century Gothic" w:eastAsia="Century Gothic" w:hAnsi="Century Gothic" w:cs="Century Gothic"/>
          <w:color w:val="1F3864" w:themeColor="accent5" w:themeShade="80"/>
        </w:rPr>
        <w:t xml:space="preserve"> </w:t>
      </w:r>
      <w:r w:rsidR="7578FD09" w:rsidRPr="3368239A">
        <w:rPr>
          <w:rFonts w:ascii="Century Gothic" w:eastAsia="Century Gothic" w:hAnsi="Century Gothic" w:cs="Century Gothic"/>
          <w:color w:val="1F3864" w:themeColor="accent5" w:themeShade="80"/>
        </w:rPr>
        <w:t>202</w:t>
      </w:r>
      <w:r w:rsidR="0650D2EF" w:rsidRPr="3368239A">
        <w:rPr>
          <w:rFonts w:ascii="Century Gothic" w:eastAsia="Century Gothic" w:hAnsi="Century Gothic" w:cs="Century Gothic"/>
          <w:color w:val="1F3864" w:themeColor="accent5" w:themeShade="80"/>
        </w:rPr>
        <w:t>6</w:t>
      </w:r>
    </w:p>
    <w:p w14:paraId="4A4FB9AB" w14:textId="72D7559D" w:rsidR="00FE6047" w:rsidRPr="00FE6047" w:rsidRDefault="0100E0A4" w:rsidP="3C049DC4">
      <w:pPr>
        <w:spacing w:after="3000" w:line="360" w:lineRule="auto"/>
        <w:ind w:left="4536" w:hanging="4536"/>
        <w:rPr>
          <w:rFonts w:ascii="Century Gothic" w:eastAsia="Century Gothic" w:hAnsi="Century Gothic" w:cs="Century Gothic"/>
          <w:color w:val="1F3864" w:themeColor="accent5" w:themeShade="80"/>
        </w:rPr>
      </w:pPr>
      <w:r w:rsidRPr="3368239A">
        <w:rPr>
          <w:rFonts w:ascii="Century Gothic" w:eastAsia="Century Gothic" w:hAnsi="Century Gothic" w:cs="Century Gothic"/>
          <w:color w:val="1F3864" w:themeColor="accent5" w:themeShade="80"/>
        </w:rPr>
        <w:t>Expiry</w:t>
      </w:r>
      <w:r w:rsidR="1AB6F484" w:rsidRPr="3368239A">
        <w:rPr>
          <w:rFonts w:ascii="Century Gothic" w:eastAsia="Century Gothic" w:hAnsi="Century Gothic" w:cs="Century Gothic"/>
          <w:color w:val="1F3864" w:themeColor="accent5" w:themeShade="80"/>
        </w:rPr>
        <w:t xml:space="preserve"> Date</w:t>
      </w:r>
      <w:r w:rsidRPr="3368239A">
        <w:rPr>
          <w:rFonts w:ascii="Century Gothic" w:eastAsia="Century Gothic" w:hAnsi="Century Gothic" w:cs="Century Gothic"/>
          <w:color w:val="1F3864" w:themeColor="accent5" w:themeShade="80"/>
        </w:rPr>
        <w:t xml:space="preserve"> (</w:t>
      </w:r>
      <w:r w:rsidR="102AB45D" w:rsidRPr="3368239A">
        <w:rPr>
          <w:rFonts w:ascii="Century Gothic" w:eastAsia="Century Gothic" w:hAnsi="Century Gothic" w:cs="Century Gothic"/>
          <w:color w:val="1F3864" w:themeColor="accent5" w:themeShade="80"/>
        </w:rPr>
        <w:t>Next review Date</w:t>
      </w:r>
      <w:r w:rsidR="48C27EA3" w:rsidRPr="3368239A">
        <w:rPr>
          <w:rFonts w:ascii="Century Gothic" w:eastAsia="Century Gothic" w:hAnsi="Century Gothic" w:cs="Century Gothic"/>
          <w:color w:val="1F3864" w:themeColor="accent5" w:themeShade="80"/>
        </w:rPr>
        <w:t>)</w:t>
      </w:r>
      <w:r w:rsidR="102AB45D" w:rsidRPr="3368239A">
        <w:rPr>
          <w:rFonts w:ascii="Century Gothic" w:eastAsia="Century Gothic" w:hAnsi="Century Gothic" w:cs="Century Gothic"/>
          <w:color w:val="1F3864" w:themeColor="accent5" w:themeShade="80"/>
        </w:rPr>
        <w:t>:</w:t>
      </w:r>
      <w:r>
        <w:tab/>
      </w:r>
      <w:r w:rsidR="2A43A57C" w:rsidRPr="3368239A">
        <w:rPr>
          <w:rFonts w:ascii="Century Gothic" w:eastAsia="Century Gothic" w:hAnsi="Century Gothic" w:cs="Century Gothic"/>
          <w:color w:val="1F3864" w:themeColor="accent5" w:themeShade="80"/>
        </w:rPr>
        <w:t xml:space="preserve">February </w:t>
      </w:r>
      <w:r w:rsidR="493A36FD" w:rsidRPr="3368239A">
        <w:rPr>
          <w:rFonts w:ascii="Century Gothic" w:eastAsia="Century Gothic" w:hAnsi="Century Gothic" w:cs="Century Gothic"/>
          <w:color w:val="1F3864" w:themeColor="accent5" w:themeShade="80"/>
        </w:rPr>
        <w:t>202</w:t>
      </w:r>
      <w:r w:rsidR="26DA129E" w:rsidRPr="3368239A">
        <w:rPr>
          <w:rFonts w:ascii="Century Gothic" w:eastAsia="Century Gothic" w:hAnsi="Century Gothic" w:cs="Century Gothic"/>
          <w:color w:val="1F3864" w:themeColor="accent5" w:themeShade="80"/>
        </w:rPr>
        <w:t>7</w:t>
      </w:r>
    </w:p>
    <w:p w14:paraId="743EE519" w14:textId="774ADFA0" w:rsidR="00BA389C" w:rsidRPr="00047AC4" w:rsidRDefault="1E242F02" w:rsidP="3C049DC4">
      <w:pPr>
        <w:tabs>
          <w:tab w:val="left" w:pos="2835"/>
        </w:tabs>
        <w:spacing w:line="360" w:lineRule="auto"/>
        <w:jc w:val="both"/>
        <w:rPr>
          <w:rFonts w:ascii="Century Gothic" w:eastAsia="Century Gothic" w:hAnsi="Century Gothic" w:cs="Century Gothic"/>
          <w:color w:val="1F3864" w:themeColor="accent5" w:themeShade="80"/>
        </w:rPr>
      </w:pPr>
      <w:r w:rsidRPr="3368239A">
        <w:rPr>
          <w:rFonts w:ascii="Century Gothic" w:eastAsia="Century Gothic" w:hAnsi="Century Gothic" w:cs="Century Gothic"/>
          <w:color w:val="1F3864" w:themeColor="accent5" w:themeShade="80"/>
        </w:rPr>
        <w:t>Date:</w:t>
      </w:r>
      <w:r>
        <w:tab/>
      </w:r>
      <w:r w:rsidR="3203741E" w:rsidRPr="3368239A">
        <w:rPr>
          <w:rFonts w:ascii="Century Gothic" w:eastAsia="Century Gothic" w:hAnsi="Century Gothic" w:cs="Century Gothic"/>
          <w:color w:val="1F3864" w:themeColor="accent5" w:themeShade="80"/>
        </w:rPr>
        <w:t>February 202</w:t>
      </w:r>
      <w:r w:rsidR="21E78E13" w:rsidRPr="3368239A">
        <w:rPr>
          <w:rFonts w:ascii="Century Gothic" w:eastAsia="Century Gothic" w:hAnsi="Century Gothic" w:cs="Century Gothic"/>
          <w:color w:val="1F3864" w:themeColor="accent5" w:themeShade="80"/>
        </w:rPr>
        <w:t>6</w:t>
      </w:r>
    </w:p>
    <w:p w14:paraId="2BE7F77B" w14:textId="2F46149B" w:rsidR="00BA389C" w:rsidRPr="00FE6047" w:rsidRDefault="1E242F02" w:rsidP="3C049DC4">
      <w:pPr>
        <w:tabs>
          <w:tab w:val="left" w:pos="2835"/>
        </w:tabs>
        <w:spacing w:line="360" w:lineRule="auto"/>
        <w:jc w:val="both"/>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Originator:</w:t>
      </w:r>
      <w:r w:rsidR="00BA389C">
        <w:tab/>
      </w:r>
      <w:r w:rsidRPr="3C049DC4">
        <w:rPr>
          <w:rFonts w:ascii="Century Gothic" w:eastAsia="Century Gothic" w:hAnsi="Century Gothic" w:cs="Century Gothic"/>
          <w:color w:val="1F3864" w:themeColor="accent5" w:themeShade="80"/>
        </w:rPr>
        <w:t>Head of Higher Education</w:t>
      </w:r>
      <w:r w:rsidR="3EB71E95" w:rsidRPr="3C049DC4">
        <w:rPr>
          <w:rFonts w:ascii="Century Gothic" w:eastAsia="Century Gothic" w:hAnsi="Century Gothic" w:cs="Century Gothic"/>
          <w:color w:val="1F3864" w:themeColor="accent5" w:themeShade="80"/>
        </w:rPr>
        <w:t xml:space="preserve"> Quality Assurance</w:t>
      </w:r>
    </w:p>
    <w:p w14:paraId="412C9D3B" w14:textId="7D0DE5D9" w:rsidR="00FE6047" w:rsidRDefault="00BA389C" w:rsidP="3C049DC4">
      <w:pPr>
        <w:tabs>
          <w:tab w:val="left" w:pos="2835"/>
        </w:tabs>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Area:</w:t>
      </w:r>
      <w:r>
        <w:tab/>
      </w:r>
      <w:r w:rsidRPr="3C049DC4">
        <w:rPr>
          <w:rFonts w:ascii="Century Gothic" w:eastAsia="Century Gothic" w:hAnsi="Century Gothic" w:cs="Century Gothic"/>
          <w:color w:val="1F3864" w:themeColor="accent5" w:themeShade="80"/>
        </w:rPr>
        <w:t>Higher Education</w:t>
      </w:r>
    </w:p>
    <w:p w14:paraId="2030ABF0" w14:textId="06929D47" w:rsidR="00143CD0" w:rsidRDefault="14FD9785" w:rsidP="0435FBB4">
      <w:pPr>
        <w:tabs>
          <w:tab w:val="left" w:pos="2835"/>
        </w:tabs>
        <w:spacing w:after="720" w:line="360" w:lineRule="auto"/>
        <w:rPr>
          <w:rFonts w:ascii="Century Gothic" w:eastAsia="Century Gothic" w:hAnsi="Century Gothic" w:cs="Century Gothic"/>
          <w:color w:val="1F3864" w:themeColor="accent5" w:themeShade="80"/>
          <w:sz w:val="20"/>
        </w:rPr>
      </w:pPr>
      <w:r>
        <w:rPr>
          <w:noProof/>
        </w:rPr>
        <w:drawing>
          <wp:inline distT="0" distB="0" distL="0" distR="0" wp14:anchorId="77F5F678" wp14:editId="36718B21">
            <wp:extent cx="5724525" cy="381000"/>
            <wp:effectExtent l="0" t="0" r="0" b="0"/>
            <wp:docPr id="18838141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14129" name=""/>
                    <pic:cNvPicPr/>
                  </pic:nvPicPr>
                  <pic:blipFill>
                    <a:blip r:embed="rId11">
                      <a:extLst>
                        <a:ext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r w:rsidR="00143CD0" w:rsidRPr="0435FBB4">
        <w:rPr>
          <w:rFonts w:ascii="Century Gothic" w:eastAsia="Century Gothic" w:hAnsi="Century Gothic" w:cs="Century Gothic"/>
          <w:color w:val="1F3864" w:themeColor="accent5" w:themeShade="80"/>
          <w:sz w:val="20"/>
        </w:rPr>
        <w:t>Once printed, this is an uncontrolled document. Refer to Policy Portal for latest version.</w:t>
      </w:r>
    </w:p>
    <w:p w14:paraId="23C219C2" w14:textId="16C46E6F" w:rsidR="00D1347C" w:rsidRDefault="00D1347C" w:rsidP="3C049DC4">
      <w:pPr>
        <w:pStyle w:val="Heading1"/>
        <w:numPr>
          <w:ilvl w:val="0"/>
          <w:numId w:val="0"/>
        </w:numPr>
        <w:spacing w:line="360" w:lineRule="auto"/>
        <w:ind w:left="357" w:hanging="357"/>
        <w:rPr>
          <w:rFonts w:ascii="Century Gothic" w:eastAsia="Century Gothic" w:hAnsi="Century Gothic" w:cs="Century Gothic"/>
          <w:b w:val="0"/>
          <w:color w:val="1F3864" w:themeColor="accent5" w:themeShade="80"/>
        </w:rPr>
      </w:pPr>
      <w:r w:rsidRPr="3C049DC4">
        <w:rPr>
          <w:rFonts w:ascii="Century Gothic" w:eastAsia="Century Gothic" w:hAnsi="Century Gothic" w:cs="Century Gothic"/>
          <w:color w:val="1F3864" w:themeColor="accent5" w:themeShade="80"/>
        </w:rPr>
        <w:lastRenderedPageBreak/>
        <w:t>Policy Accountability and Implementation</w:t>
      </w:r>
    </w:p>
    <w:p w14:paraId="2C1300DC" w14:textId="6AA466D3" w:rsidR="00FC2CC1" w:rsidRPr="00F3575A" w:rsidRDefault="00AC58F9" w:rsidP="3C049DC4">
      <w:pPr>
        <w:spacing w:line="360" w:lineRule="auto"/>
        <w:ind w:left="4253" w:hanging="4253"/>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Policy Title:</w:t>
      </w:r>
      <w:r>
        <w:tab/>
      </w:r>
      <w:r w:rsidR="00261ED5" w:rsidRPr="3C049DC4">
        <w:rPr>
          <w:rFonts w:ascii="Century Gothic" w:eastAsia="Century Gothic" w:hAnsi="Century Gothic" w:cs="Century Gothic"/>
          <w:color w:val="1F3864" w:themeColor="accent5" w:themeShade="80"/>
        </w:rPr>
        <w:t xml:space="preserve">HE </w:t>
      </w:r>
      <w:r w:rsidR="000009A7" w:rsidRPr="3C049DC4">
        <w:rPr>
          <w:rFonts w:ascii="Century Gothic" w:eastAsia="Century Gothic" w:hAnsi="Century Gothic" w:cs="Century Gothic"/>
          <w:color w:val="1F3864" w:themeColor="accent5" w:themeShade="80"/>
        </w:rPr>
        <w:t>Admissions Policy</w:t>
      </w:r>
    </w:p>
    <w:p w14:paraId="421DE87B" w14:textId="470D1146" w:rsidR="009542F2" w:rsidRPr="00F3575A" w:rsidRDefault="5DA60CEA" w:rsidP="3C049DC4">
      <w:pPr>
        <w:spacing w:line="360" w:lineRule="auto"/>
        <w:ind w:left="4253" w:hanging="4253"/>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Policy Author / Reviewers:</w:t>
      </w:r>
      <w:r w:rsidR="009542F2">
        <w:tab/>
      </w:r>
      <w:r w:rsidR="493A36FD" w:rsidRPr="3C049DC4">
        <w:rPr>
          <w:rFonts w:ascii="Century Gothic" w:eastAsia="Century Gothic" w:hAnsi="Century Gothic" w:cs="Century Gothic"/>
          <w:color w:val="1F3864" w:themeColor="accent5" w:themeShade="80"/>
        </w:rPr>
        <w:t>Head of Higher Education</w:t>
      </w:r>
      <w:r w:rsidR="79C3F8C6" w:rsidRPr="3C049DC4">
        <w:rPr>
          <w:rFonts w:ascii="Century Gothic" w:eastAsia="Century Gothic" w:hAnsi="Century Gothic" w:cs="Century Gothic"/>
          <w:color w:val="1F3864" w:themeColor="accent5" w:themeShade="80"/>
        </w:rPr>
        <w:t xml:space="preserve"> Quality Assurance</w:t>
      </w:r>
    </w:p>
    <w:p w14:paraId="27907B24" w14:textId="4D10236F" w:rsidR="009542F2" w:rsidRPr="00F3575A" w:rsidRDefault="5DA60CEA" w:rsidP="3C049DC4">
      <w:pPr>
        <w:spacing w:line="360" w:lineRule="auto"/>
        <w:ind w:left="4253" w:hanging="4253"/>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Policy Implementation:</w:t>
      </w:r>
      <w:r w:rsidR="009542F2">
        <w:tab/>
      </w:r>
      <w:r w:rsidR="3BAFF30B" w:rsidRPr="3C049DC4">
        <w:rPr>
          <w:rFonts w:ascii="Century Gothic" w:eastAsia="Century Gothic" w:hAnsi="Century Gothic" w:cs="Century Gothic"/>
          <w:color w:val="1F3864" w:themeColor="accent5" w:themeShade="80"/>
        </w:rPr>
        <w:t>Head of Higher Education</w:t>
      </w:r>
      <w:r w:rsidR="30394972" w:rsidRPr="3C049DC4">
        <w:rPr>
          <w:rFonts w:ascii="Century Gothic" w:eastAsia="Century Gothic" w:hAnsi="Century Gothic" w:cs="Century Gothic"/>
          <w:color w:val="1F3864" w:themeColor="accent5" w:themeShade="80"/>
        </w:rPr>
        <w:t xml:space="preserve"> Quality Assurance, Director of Marketing and Communications</w:t>
      </w:r>
    </w:p>
    <w:p w14:paraId="72005EA3" w14:textId="72E2C2E8" w:rsidR="009542F2" w:rsidRDefault="5B8D7890" w:rsidP="3C049DC4">
      <w:pPr>
        <w:spacing w:line="360" w:lineRule="auto"/>
        <w:ind w:left="4253" w:hanging="4253"/>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Policy Monitoring and Compliance:</w:t>
      </w:r>
      <w:r w:rsidR="00F3575A">
        <w:tab/>
      </w:r>
      <w:r w:rsidR="3BAFF30B" w:rsidRPr="3C049DC4">
        <w:rPr>
          <w:rFonts w:ascii="Century Gothic" w:eastAsia="Century Gothic" w:hAnsi="Century Gothic" w:cs="Century Gothic"/>
          <w:color w:val="1F3864" w:themeColor="accent5" w:themeShade="80"/>
        </w:rPr>
        <w:t>Head of Higher Education</w:t>
      </w:r>
      <w:r w:rsidR="2CF6E8C6" w:rsidRPr="3C049DC4">
        <w:rPr>
          <w:rFonts w:ascii="Century Gothic" w:eastAsia="Century Gothic" w:hAnsi="Century Gothic" w:cs="Century Gothic"/>
          <w:color w:val="1F3864" w:themeColor="accent5" w:themeShade="80"/>
        </w:rPr>
        <w:t xml:space="preserve"> Quality Assurance, Director of Marketing and Communications</w:t>
      </w:r>
    </w:p>
    <w:p w14:paraId="755DE1FD" w14:textId="1C86EFBE" w:rsidR="00C353A7" w:rsidRPr="00F3575A" w:rsidRDefault="00C353A7" w:rsidP="3C049DC4">
      <w:pPr>
        <w:spacing w:line="360" w:lineRule="auto"/>
        <w:ind w:left="4253" w:hanging="4253"/>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Policy Review Timeline:</w:t>
      </w:r>
      <w:r>
        <w:tab/>
      </w:r>
      <w:r w:rsidR="009E686F" w:rsidRPr="3C049DC4">
        <w:rPr>
          <w:rFonts w:ascii="Century Gothic" w:eastAsia="Century Gothic" w:hAnsi="Century Gothic" w:cs="Century Gothic"/>
          <w:color w:val="1F3864" w:themeColor="accent5" w:themeShade="80"/>
        </w:rPr>
        <w:t>A</w:t>
      </w:r>
      <w:r w:rsidRPr="3C049DC4">
        <w:rPr>
          <w:rFonts w:ascii="Century Gothic" w:eastAsia="Century Gothic" w:hAnsi="Century Gothic" w:cs="Century Gothic"/>
          <w:color w:val="1F3864" w:themeColor="accent5" w:themeShade="80"/>
        </w:rPr>
        <w:t>nnual</w:t>
      </w:r>
    </w:p>
    <w:p w14:paraId="36480CAE" w14:textId="77777777" w:rsidR="007D2474" w:rsidRDefault="007D2474" w:rsidP="3C049DC4">
      <w:pPr>
        <w:spacing w:line="360" w:lineRule="auto"/>
        <w:rPr>
          <w:rFonts w:ascii="Century Gothic" w:eastAsia="Century Gothic" w:hAnsi="Century Gothic" w:cs="Century Gothic"/>
          <w:color w:val="1F3864" w:themeColor="accent5" w:themeShade="80"/>
        </w:rPr>
      </w:pPr>
    </w:p>
    <w:p w14:paraId="7DB9B0A6" w14:textId="57BAD9F2" w:rsidR="007D2474" w:rsidRDefault="00F3575A" w:rsidP="3C049DC4">
      <w:pPr>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Synopsis:</w:t>
      </w:r>
    </w:p>
    <w:p w14:paraId="13F7A764" w14:textId="292B5070" w:rsidR="00F3575A" w:rsidRDefault="000009A7" w:rsidP="3C049DC4">
      <w:pPr>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Admissions policy to admit students on to courses in Higher Education at DCG.</w:t>
      </w:r>
    </w:p>
    <w:p w14:paraId="68D5B2E8" w14:textId="7FC118A8" w:rsidR="00B92F73" w:rsidRPr="00B92F73" w:rsidRDefault="00121FD1" w:rsidP="3C049DC4">
      <w:pPr>
        <w:pStyle w:val="Heading1"/>
        <w:numPr>
          <w:ilvl w:val="0"/>
          <w:numId w:val="0"/>
        </w:numPr>
        <w:spacing w:line="360" w:lineRule="auto"/>
        <w:ind w:left="357" w:hanging="357"/>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Policy Classification</w:t>
      </w:r>
      <w:r w:rsidR="00463F67" w:rsidRPr="3C049DC4">
        <w:rPr>
          <w:rFonts w:ascii="Century Gothic" w:eastAsia="Century Gothic" w:hAnsi="Century Gothic" w:cs="Century Gothic"/>
          <w:color w:val="1F3864" w:themeColor="accent5" w:themeShade="80"/>
        </w:rPr>
        <w:t xml:space="preserve"> and Publication</w:t>
      </w:r>
    </w:p>
    <w:p w14:paraId="166C6208" w14:textId="369F5EDA" w:rsidR="00B46DF1" w:rsidRDefault="00E8613F" w:rsidP="3C049DC4">
      <w:pPr>
        <w:pStyle w:val="Heading2"/>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Classification</w:t>
      </w:r>
    </w:p>
    <w:p w14:paraId="1D804F4D" w14:textId="395EFD7D" w:rsidR="00E81F57" w:rsidRDefault="00E81F57" w:rsidP="3C049DC4">
      <w:pPr>
        <w:pStyle w:val="ListParagraph"/>
        <w:numPr>
          <w:ilvl w:val="0"/>
          <w:numId w:val="7"/>
        </w:numPr>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 xml:space="preserve">Not </w:t>
      </w:r>
      <w:r w:rsidR="003706D1" w:rsidRPr="3C049DC4">
        <w:rPr>
          <w:rFonts w:ascii="Century Gothic" w:eastAsia="Century Gothic" w:hAnsi="Century Gothic" w:cs="Century Gothic"/>
          <w:color w:val="1F3864" w:themeColor="accent5" w:themeShade="80"/>
        </w:rPr>
        <w:t>Classified</w:t>
      </w:r>
      <w:r w:rsidRPr="3C049DC4">
        <w:rPr>
          <w:rFonts w:ascii="Century Gothic" w:eastAsia="Century Gothic" w:hAnsi="Century Gothic" w:cs="Century Gothic"/>
          <w:color w:val="1F3864" w:themeColor="accent5" w:themeShade="80"/>
        </w:rPr>
        <w:t xml:space="preserve"> (NA)</w:t>
      </w:r>
    </w:p>
    <w:p w14:paraId="52ABAC7C" w14:textId="70C84926" w:rsidR="00D011B3" w:rsidRDefault="00BB32E6" w:rsidP="3C049DC4">
      <w:pPr>
        <w:pStyle w:val="Heading2"/>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Publication</w:t>
      </w:r>
    </w:p>
    <w:p w14:paraId="00C57715" w14:textId="77777777" w:rsidR="00B92F73" w:rsidRDefault="003706D1" w:rsidP="3C049DC4">
      <w:pPr>
        <w:pStyle w:val="ListParagraph"/>
        <w:numPr>
          <w:ilvl w:val="0"/>
          <w:numId w:val="8"/>
        </w:numPr>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Intranet – Policy portal</w:t>
      </w:r>
    </w:p>
    <w:p w14:paraId="64F53448" w14:textId="3C0E6127" w:rsidR="00B92F73" w:rsidRDefault="003706D1" w:rsidP="3C049DC4">
      <w:pPr>
        <w:pStyle w:val="ListParagraph"/>
        <w:numPr>
          <w:ilvl w:val="0"/>
          <w:numId w:val="8"/>
        </w:numPr>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Website</w:t>
      </w:r>
      <w:r w:rsidR="007D2474" w:rsidRPr="3C049DC4">
        <w:rPr>
          <w:rFonts w:ascii="Century Gothic" w:eastAsia="Century Gothic" w:hAnsi="Century Gothic" w:cs="Century Gothic"/>
          <w:color w:val="1F3864" w:themeColor="accent5" w:themeShade="80"/>
        </w:rPr>
        <w:t xml:space="preserve"> – HE page</w:t>
      </w:r>
    </w:p>
    <w:p w14:paraId="7ED74F10" w14:textId="79BB45BE" w:rsidR="007D5790" w:rsidRPr="007D5790" w:rsidRDefault="007D5790" w:rsidP="3C049DC4">
      <w:pPr>
        <w:pStyle w:val="Heading2"/>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Empowering/related legislative and/or authoritative references:</w:t>
      </w:r>
    </w:p>
    <w:p w14:paraId="206F7FE3" w14:textId="3F329BFC" w:rsidR="007D5790" w:rsidRDefault="007D5790" w:rsidP="3C049DC4">
      <w:pPr>
        <w:spacing w:line="360" w:lineRule="auto"/>
        <w:rPr>
          <w:rFonts w:ascii="Century Gothic" w:eastAsia="Century Gothic" w:hAnsi="Century Gothic" w:cs="Century Gothic"/>
          <w:color w:val="1F3864" w:themeColor="accent5" w:themeShade="80"/>
          <w:sz w:val="20"/>
        </w:rPr>
      </w:pPr>
    </w:p>
    <w:p w14:paraId="397600A6" w14:textId="3A651207" w:rsidR="00493C80" w:rsidRPr="00493C80" w:rsidRDefault="00127654" w:rsidP="3C049DC4">
      <w:pPr>
        <w:pStyle w:val="Heading1"/>
        <w:numPr>
          <w:ilvl w:val="0"/>
          <w:numId w:val="0"/>
        </w:numPr>
        <w:spacing w:before="0" w:line="360" w:lineRule="auto"/>
        <w:ind w:left="357" w:hanging="357"/>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Periodic Policy Review / Change History</w:t>
      </w:r>
    </w:p>
    <w:p w14:paraId="0D709E50" w14:textId="4F0A912D" w:rsidR="002E6BEE" w:rsidRPr="006A76D0" w:rsidRDefault="00787818" w:rsidP="3C049DC4">
      <w:pPr>
        <w:pStyle w:val="NoSpacing"/>
        <w:spacing w:line="360" w:lineRule="auto"/>
        <w:rPr>
          <w:rFonts w:ascii="Century Gothic" w:eastAsia="Century Gothic" w:hAnsi="Century Gothic" w:cs="Century Gothic"/>
          <w:i/>
          <w:iCs/>
          <w:color w:val="1F3864" w:themeColor="accent5" w:themeShade="80"/>
          <w:sz w:val="16"/>
          <w:szCs w:val="16"/>
        </w:rPr>
      </w:pPr>
      <w:r w:rsidRPr="3C049DC4">
        <w:rPr>
          <w:rFonts w:ascii="Century Gothic" w:eastAsia="Century Gothic" w:hAnsi="Century Gothic" w:cs="Century Gothic"/>
          <w:i/>
          <w:iCs/>
          <w:color w:val="1F3864" w:themeColor="accent5" w:themeShade="80"/>
        </w:rPr>
        <w:t>Note: Please make it clear if change/review relates to procedures, guidelines and associated documents only or it is a rational for a new or substantive policy review</w:t>
      </w:r>
    </w:p>
    <w:p w14:paraId="0A485F36" w14:textId="77777777" w:rsidR="00042912" w:rsidRPr="00ED1F1A" w:rsidRDefault="00042912" w:rsidP="3C049DC4">
      <w:pPr>
        <w:spacing w:line="360" w:lineRule="auto"/>
        <w:rPr>
          <w:rFonts w:ascii="Century Gothic" w:eastAsia="Century Gothic" w:hAnsi="Century Gothic" w:cs="Century Gothic"/>
          <w:color w:val="1F3864" w:themeColor="accent5" w:themeShade="80"/>
        </w:rPr>
      </w:pPr>
    </w:p>
    <w:tbl>
      <w:tblPr>
        <w:tblStyle w:val="GridTable4-Accent3"/>
        <w:tblpPr w:leftFromText="180" w:rightFromText="180" w:vertAnchor="text" w:horzAnchor="margin" w:tblpXSpec="center" w:tblpY="42"/>
        <w:tblW w:w="10218" w:type="dxa"/>
        <w:tbl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insideH w:val="double" w:sz="12" w:space="0" w:color="1F3864" w:themeColor="accent5" w:themeShade="80"/>
          <w:insideV w:val="double" w:sz="12" w:space="0" w:color="1F3864" w:themeColor="accent5" w:themeShade="80"/>
        </w:tblBorders>
        <w:tblLayout w:type="fixed"/>
        <w:tblLook w:val="04A0" w:firstRow="1" w:lastRow="0" w:firstColumn="1" w:lastColumn="0" w:noHBand="0" w:noVBand="1"/>
      </w:tblPr>
      <w:tblGrid>
        <w:gridCol w:w="1129"/>
        <w:gridCol w:w="1560"/>
        <w:gridCol w:w="4819"/>
        <w:gridCol w:w="1559"/>
        <w:gridCol w:w="1151"/>
      </w:tblGrid>
      <w:tr w:rsidR="00042912" w:rsidRPr="00ED1F1A" w14:paraId="0C4DBDDF" w14:textId="77777777" w:rsidTr="4E889DAC">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15794986" w14:textId="77777777" w:rsidR="00042912" w:rsidRPr="007672D1" w:rsidRDefault="00042912" w:rsidP="4E4EB7E9">
            <w:pPr>
              <w:spacing w:line="360" w:lineRule="auto"/>
              <w:rPr>
                <w:rFonts w:ascii="Century Gothic" w:eastAsia="Century Gothic" w:hAnsi="Century Gothic" w:cs="Century Gothic"/>
                <w:b w:val="0"/>
                <w:bCs w:val="0"/>
                <w:color w:val="1F3864" w:themeColor="accent5" w:themeShade="80"/>
                <w:sz w:val="18"/>
                <w:szCs w:val="18"/>
              </w:rPr>
            </w:pPr>
            <w:r w:rsidRPr="4E4EB7E9">
              <w:rPr>
                <w:rFonts w:ascii="Century Gothic" w:eastAsia="Century Gothic" w:hAnsi="Century Gothic" w:cs="Century Gothic"/>
                <w:color w:val="1F3864" w:themeColor="accent5" w:themeShade="80"/>
                <w:sz w:val="18"/>
                <w:szCs w:val="18"/>
              </w:rPr>
              <w:t>Version</w:t>
            </w:r>
          </w:p>
          <w:p w14:paraId="69066847" w14:textId="77777777" w:rsidR="00042912" w:rsidRPr="007672D1" w:rsidRDefault="00042912" w:rsidP="4E4EB7E9">
            <w:pPr>
              <w:spacing w:line="360" w:lineRule="auto"/>
              <w:jc w:val="right"/>
              <w:rPr>
                <w:rFonts w:ascii="Century Gothic" w:eastAsia="Century Gothic" w:hAnsi="Century Gothic" w:cs="Century Gothic"/>
                <w:b w:val="0"/>
                <w:bCs w:val="0"/>
                <w:color w:val="1F3864" w:themeColor="accent5" w:themeShade="80"/>
                <w:sz w:val="18"/>
                <w:szCs w:val="18"/>
              </w:rPr>
            </w:pPr>
          </w:p>
          <w:p w14:paraId="35DB5A63" w14:textId="77777777" w:rsidR="00042912" w:rsidRPr="007672D1" w:rsidRDefault="00042912" w:rsidP="4E4EB7E9">
            <w:pPr>
              <w:spacing w:line="360" w:lineRule="auto"/>
              <w:jc w:val="right"/>
              <w:rPr>
                <w:rFonts w:ascii="Century Gothic" w:eastAsia="Century Gothic" w:hAnsi="Century Gothic" w:cs="Century Gothic"/>
                <w:b w:val="0"/>
                <w:bCs w:val="0"/>
                <w:color w:val="1F3864" w:themeColor="accent5" w:themeShade="80"/>
                <w:sz w:val="18"/>
                <w:szCs w:val="18"/>
              </w:rPr>
            </w:pP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717566C8" w14:textId="3E3924B2" w:rsidR="00042912" w:rsidRPr="007672D1" w:rsidRDefault="00042912" w:rsidP="4E4EB7E9">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4EB7E9">
              <w:rPr>
                <w:rFonts w:ascii="Century Gothic" w:eastAsia="Century Gothic" w:hAnsi="Century Gothic" w:cs="Century Gothic"/>
                <w:color w:val="1F3864" w:themeColor="accent5" w:themeShade="80"/>
                <w:sz w:val="18"/>
                <w:szCs w:val="18"/>
              </w:rPr>
              <w:t>Reviewe</w:t>
            </w:r>
            <w:r w:rsidR="00586F5C" w:rsidRPr="4E4EB7E9">
              <w:rPr>
                <w:rFonts w:ascii="Century Gothic" w:eastAsia="Century Gothic" w:hAnsi="Century Gothic" w:cs="Century Gothic"/>
                <w:color w:val="1F3864" w:themeColor="accent5" w:themeShade="80"/>
                <w:sz w:val="18"/>
                <w:szCs w:val="18"/>
              </w:rPr>
              <w:t xml:space="preserve">d / </w:t>
            </w:r>
            <w:r w:rsidRPr="4E4EB7E9">
              <w:rPr>
                <w:rFonts w:ascii="Century Gothic" w:eastAsia="Century Gothic" w:hAnsi="Century Gothic" w:cs="Century Gothic"/>
                <w:color w:val="1F3864" w:themeColor="accent5" w:themeShade="80"/>
                <w:sz w:val="18"/>
                <w:szCs w:val="18"/>
              </w:rPr>
              <w:t>Modified b</w:t>
            </w:r>
            <w:r w:rsidR="00586F5C" w:rsidRPr="4E4EB7E9">
              <w:rPr>
                <w:rFonts w:ascii="Century Gothic" w:eastAsia="Century Gothic" w:hAnsi="Century Gothic" w:cs="Century Gothic"/>
                <w:color w:val="1F3864" w:themeColor="accent5" w:themeShade="80"/>
                <w:sz w:val="18"/>
                <w:szCs w:val="18"/>
              </w:rPr>
              <w:t>y:</w:t>
            </w:r>
          </w:p>
          <w:p w14:paraId="3FF4EFEE" w14:textId="77777777" w:rsidR="00042912" w:rsidRPr="007672D1" w:rsidRDefault="00042912" w:rsidP="4E4EB7E9">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77B4C9BD" w14:textId="7D63B8C1" w:rsidR="00042912" w:rsidRPr="007672D1" w:rsidRDefault="00042912" w:rsidP="4E4EB7E9">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4EB7E9">
              <w:rPr>
                <w:rFonts w:ascii="Century Gothic" w:eastAsia="Century Gothic" w:hAnsi="Century Gothic" w:cs="Century Gothic"/>
                <w:color w:val="1F3864" w:themeColor="accent5" w:themeShade="80"/>
                <w:sz w:val="18"/>
                <w:szCs w:val="18"/>
              </w:rPr>
              <w:t xml:space="preserve">Change History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6DAC4D98" w14:textId="77777777" w:rsidR="00042912" w:rsidRPr="007672D1" w:rsidRDefault="00042912" w:rsidP="4E4EB7E9">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4EB7E9">
              <w:rPr>
                <w:rFonts w:ascii="Century Gothic" w:eastAsia="Century Gothic" w:hAnsi="Century Gothic" w:cs="Century Gothic"/>
                <w:color w:val="1F3864" w:themeColor="accent5" w:themeShade="80"/>
                <w:sz w:val="18"/>
                <w:szCs w:val="18"/>
              </w:rPr>
              <w:t>Advisory committee / groups or specialists</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0629BCD4" w14:textId="77777777" w:rsidR="00042912" w:rsidRPr="007672D1" w:rsidRDefault="00042912" w:rsidP="4E4EB7E9">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4EB7E9">
              <w:rPr>
                <w:rFonts w:ascii="Century Gothic" w:eastAsia="Century Gothic" w:hAnsi="Century Gothic" w:cs="Century Gothic"/>
                <w:color w:val="1F3864" w:themeColor="accent5" w:themeShade="80"/>
                <w:sz w:val="18"/>
                <w:szCs w:val="18"/>
              </w:rPr>
              <w:t xml:space="preserve">Review / Meeting </w:t>
            </w:r>
          </w:p>
          <w:p w14:paraId="0A3DC731" w14:textId="77777777" w:rsidR="00042912" w:rsidRPr="007672D1" w:rsidRDefault="00042912" w:rsidP="4E4EB7E9">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4EB7E9">
              <w:rPr>
                <w:rFonts w:ascii="Century Gothic" w:eastAsia="Century Gothic" w:hAnsi="Century Gothic" w:cs="Century Gothic"/>
                <w:color w:val="1F3864" w:themeColor="accent5" w:themeShade="80"/>
                <w:sz w:val="18"/>
                <w:szCs w:val="18"/>
              </w:rPr>
              <w:t>Date/s</w:t>
            </w:r>
          </w:p>
          <w:p w14:paraId="7F0F62C9" w14:textId="77777777" w:rsidR="00042912" w:rsidRPr="007672D1" w:rsidRDefault="00042912" w:rsidP="4E4EB7E9">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r>
      <w:tr w:rsidR="00042912" w:rsidRPr="00ED1F1A" w14:paraId="5CC6BACF" w14:textId="77777777" w:rsidTr="4E889DA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tcBorders>
            <w:shd w:val="clear" w:color="auto" w:fill="FEEACA"/>
          </w:tcPr>
          <w:p w14:paraId="59D0E95B" w14:textId="66A2EA98" w:rsidR="00042912" w:rsidRPr="006A1FB1" w:rsidRDefault="007520B0" w:rsidP="3C049DC4">
            <w:pPr>
              <w:spacing w:line="360" w:lineRule="auto"/>
              <w:rPr>
                <w:rFonts w:ascii="Century Gothic" w:eastAsia="Century Gothic" w:hAnsi="Century Gothic" w:cs="Century Gothic"/>
                <w:b w:val="0"/>
                <w:bCs w:val="0"/>
                <w:color w:val="1F3864" w:themeColor="accent5" w:themeShade="80"/>
                <w:sz w:val="16"/>
                <w:szCs w:val="16"/>
              </w:rPr>
            </w:pPr>
            <w:r w:rsidRPr="3C049DC4">
              <w:rPr>
                <w:rFonts w:ascii="Century Gothic" w:eastAsia="Century Gothic" w:hAnsi="Century Gothic" w:cs="Century Gothic"/>
                <w:b w:val="0"/>
                <w:bCs w:val="0"/>
                <w:color w:val="1F3864" w:themeColor="accent5" w:themeShade="80"/>
                <w:sz w:val="16"/>
                <w:szCs w:val="16"/>
              </w:rPr>
              <w:t>1</w:t>
            </w:r>
          </w:p>
        </w:tc>
        <w:tc>
          <w:tcPr>
            <w:tcW w:w="1560" w:type="dxa"/>
            <w:tcBorders>
              <w:top w:val="double" w:sz="12" w:space="0" w:color="1F3864" w:themeColor="accent5" w:themeShade="80"/>
            </w:tcBorders>
            <w:shd w:val="clear" w:color="auto" w:fill="FEEACA"/>
          </w:tcPr>
          <w:p w14:paraId="3E952BB7" w14:textId="7E742E60" w:rsidR="00042912" w:rsidRPr="006A1FB1" w:rsidRDefault="000009A7"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Director of H</w:t>
            </w:r>
            <w:r w:rsidR="007D2474" w:rsidRPr="3C049DC4">
              <w:rPr>
                <w:rFonts w:ascii="Century Gothic" w:eastAsia="Century Gothic" w:hAnsi="Century Gothic" w:cs="Century Gothic"/>
                <w:color w:val="1F3864" w:themeColor="accent5" w:themeShade="80"/>
                <w:sz w:val="16"/>
                <w:szCs w:val="16"/>
              </w:rPr>
              <w:t>i</w:t>
            </w:r>
            <w:r w:rsidRPr="3C049DC4">
              <w:rPr>
                <w:rFonts w:ascii="Century Gothic" w:eastAsia="Century Gothic" w:hAnsi="Century Gothic" w:cs="Century Gothic"/>
                <w:color w:val="1F3864" w:themeColor="accent5" w:themeShade="80"/>
                <w:sz w:val="16"/>
                <w:szCs w:val="16"/>
              </w:rPr>
              <w:t>gher Education and Director of Services for Students</w:t>
            </w:r>
          </w:p>
        </w:tc>
        <w:tc>
          <w:tcPr>
            <w:tcW w:w="4819" w:type="dxa"/>
            <w:tcBorders>
              <w:top w:val="double" w:sz="12" w:space="0" w:color="1F3864" w:themeColor="accent5" w:themeShade="80"/>
            </w:tcBorders>
            <w:shd w:val="clear" w:color="auto" w:fill="FEEACA"/>
          </w:tcPr>
          <w:p w14:paraId="7BBAD548" w14:textId="412F8E56" w:rsidR="00042912" w:rsidRPr="006A1FB1" w:rsidRDefault="000009A7"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Agreed new policy</w:t>
            </w:r>
          </w:p>
        </w:tc>
        <w:tc>
          <w:tcPr>
            <w:tcW w:w="1559" w:type="dxa"/>
            <w:tcBorders>
              <w:top w:val="double" w:sz="12" w:space="0" w:color="1F3864" w:themeColor="accent5" w:themeShade="80"/>
            </w:tcBorders>
            <w:shd w:val="clear" w:color="auto" w:fill="FEEACA"/>
          </w:tcPr>
          <w:p w14:paraId="071737C6" w14:textId="77777777" w:rsidR="00042912" w:rsidRPr="006A1FB1" w:rsidRDefault="000009A7"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HE Academic Board</w:t>
            </w:r>
          </w:p>
          <w:p w14:paraId="49952823" w14:textId="4AD0B059" w:rsidR="000009A7" w:rsidRPr="006A1FB1" w:rsidRDefault="000009A7"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 xml:space="preserve">HE Strategic Board </w:t>
            </w:r>
          </w:p>
        </w:tc>
        <w:tc>
          <w:tcPr>
            <w:tcW w:w="1151" w:type="dxa"/>
            <w:tcBorders>
              <w:top w:val="double" w:sz="12" w:space="0" w:color="1F3864" w:themeColor="accent5" w:themeShade="80"/>
            </w:tcBorders>
            <w:shd w:val="clear" w:color="auto" w:fill="FEEACA"/>
          </w:tcPr>
          <w:p w14:paraId="7A319FA7" w14:textId="430A2DF5" w:rsidR="00042912" w:rsidRPr="006A1FB1" w:rsidRDefault="007520B0"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 xml:space="preserve">Oct </w:t>
            </w:r>
            <w:r w:rsidR="000009A7" w:rsidRPr="3C049DC4">
              <w:rPr>
                <w:rFonts w:ascii="Century Gothic" w:eastAsia="Century Gothic" w:hAnsi="Century Gothic" w:cs="Century Gothic"/>
                <w:color w:val="1F3864" w:themeColor="accent5" w:themeShade="80"/>
                <w:sz w:val="16"/>
                <w:szCs w:val="16"/>
              </w:rPr>
              <w:t>20</w:t>
            </w:r>
            <w:r w:rsidRPr="3C049DC4">
              <w:rPr>
                <w:rFonts w:ascii="Century Gothic" w:eastAsia="Century Gothic" w:hAnsi="Century Gothic" w:cs="Century Gothic"/>
                <w:color w:val="1F3864" w:themeColor="accent5" w:themeShade="80"/>
                <w:sz w:val="16"/>
                <w:szCs w:val="16"/>
              </w:rPr>
              <w:t>19</w:t>
            </w:r>
          </w:p>
        </w:tc>
      </w:tr>
      <w:tr w:rsidR="006A1FB1" w:rsidRPr="00ED1F1A" w14:paraId="419E95CA" w14:textId="77777777" w:rsidTr="4E889DAC">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0CB7409E" w14:textId="77777777" w:rsidR="006A1FB1" w:rsidRPr="006A1FB1" w:rsidRDefault="006A1FB1" w:rsidP="3C049DC4">
            <w:pPr>
              <w:spacing w:line="360" w:lineRule="auto"/>
              <w:rPr>
                <w:rFonts w:ascii="Century Gothic" w:eastAsia="Century Gothic" w:hAnsi="Century Gothic" w:cs="Century Gothic"/>
                <w:b w:val="0"/>
                <w:bCs w:val="0"/>
                <w:color w:val="1F3864" w:themeColor="accent5" w:themeShade="80"/>
                <w:sz w:val="16"/>
                <w:szCs w:val="16"/>
              </w:rPr>
            </w:pPr>
          </w:p>
          <w:p w14:paraId="6D3698B4" w14:textId="34C5DA49" w:rsidR="006A1FB1" w:rsidRPr="006A1FB1" w:rsidRDefault="006A1FB1" w:rsidP="3C049DC4">
            <w:pPr>
              <w:spacing w:line="360" w:lineRule="auto"/>
              <w:rPr>
                <w:rFonts w:ascii="Century Gothic" w:eastAsia="Century Gothic" w:hAnsi="Century Gothic" w:cs="Century Gothic"/>
                <w:b w:val="0"/>
                <w:bCs w:val="0"/>
                <w:color w:val="1F3864" w:themeColor="accent5" w:themeShade="80"/>
                <w:sz w:val="16"/>
                <w:szCs w:val="16"/>
              </w:rPr>
            </w:pPr>
            <w:r w:rsidRPr="3C049DC4">
              <w:rPr>
                <w:rFonts w:ascii="Century Gothic" w:eastAsia="Century Gothic" w:hAnsi="Century Gothic" w:cs="Century Gothic"/>
                <w:b w:val="0"/>
                <w:bCs w:val="0"/>
                <w:color w:val="1F3864" w:themeColor="accent5" w:themeShade="80"/>
                <w:sz w:val="16"/>
                <w:szCs w:val="16"/>
              </w:rPr>
              <w:t>2</w:t>
            </w:r>
          </w:p>
          <w:p w14:paraId="4EF97BD4" w14:textId="77777777" w:rsidR="006A1FB1" w:rsidRPr="006A1FB1" w:rsidRDefault="006A1FB1" w:rsidP="3C049DC4">
            <w:pPr>
              <w:spacing w:line="360" w:lineRule="auto"/>
              <w:rPr>
                <w:rFonts w:ascii="Century Gothic" w:eastAsia="Century Gothic" w:hAnsi="Century Gothic" w:cs="Century Gothic"/>
                <w:b w:val="0"/>
                <w:bCs w:val="0"/>
                <w:color w:val="1F3864" w:themeColor="accent5" w:themeShade="80"/>
                <w:sz w:val="16"/>
                <w:szCs w:val="16"/>
              </w:rPr>
            </w:pPr>
          </w:p>
        </w:tc>
        <w:tc>
          <w:tcPr>
            <w:tcW w:w="1560" w:type="dxa"/>
            <w:shd w:val="clear" w:color="auto" w:fill="FEEACA"/>
          </w:tcPr>
          <w:p w14:paraId="54104BAE" w14:textId="628D3124" w:rsidR="006A1FB1" w:rsidRPr="006A1FB1" w:rsidRDefault="006A1FB1"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Director of Higher Education and Director of Services for Students</w:t>
            </w:r>
          </w:p>
        </w:tc>
        <w:tc>
          <w:tcPr>
            <w:tcW w:w="4819" w:type="dxa"/>
            <w:shd w:val="clear" w:color="auto" w:fill="FEEACA"/>
          </w:tcPr>
          <w:p w14:paraId="10343FFC" w14:textId="5DA326BD" w:rsidR="006A1FB1" w:rsidRPr="006A1FB1" w:rsidRDefault="006A1FB1"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 xml:space="preserve">Minor amendments </w:t>
            </w:r>
          </w:p>
        </w:tc>
        <w:tc>
          <w:tcPr>
            <w:tcW w:w="1559" w:type="dxa"/>
            <w:shd w:val="clear" w:color="auto" w:fill="FEEACA"/>
          </w:tcPr>
          <w:p w14:paraId="3F875DFF" w14:textId="571219BE" w:rsidR="006A1FB1" w:rsidRPr="006A1FB1" w:rsidRDefault="006A1FB1"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 xml:space="preserve">HE Academic Board </w:t>
            </w:r>
          </w:p>
        </w:tc>
        <w:tc>
          <w:tcPr>
            <w:tcW w:w="1151" w:type="dxa"/>
            <w:shd w:val="clear" w:color="auto" w:fill="FEEACA"/>
          </w:tcPr>
          <w:p w14:paraId="472DC2FF" w14:textId="6C727C3E" w:rsidR="006A1FB1" w:rsidRPr="006A1FB1" w:rsidRDefault="006A1FB1"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June 2021</w:t>
            </w:r>
          </w:p>
        </w:tc>
      </w:tr>
      <w:tr w:rsidR="006A1FB1" w:rsidRPr="00ED1F1A" w14:paraId="3DABB722" w14:textId="77777777" w:rsidTr="4E889DA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359AD303" w14:textId="7BC3B220" w:rsidR="006A1FB1" w:rsidRPr="006A1FB1" w:rsidRDefault="099CCD5C" w:rsidP="3C049DC4">
            <w:pPr>
              <w:spacing w:line="360" w:lineRule="auto"/>
              <w:rPr>
                <w:rFonts w:ascii="Century Gothic" w:eastAsia="Century Gothic" w:hAnsi="Century Gothic" w:cs="Century Gothic"/>
                <w:b w:val="0"/>
                <w:bCs w:val="0"/>
                <w:color w:val="1F3864" w:themeColor="accent5" w:themeShade="80"/>
                <w:sz w:val="16"/>
                <w:szCs w:val="16"/>
              </w:rPr>
            </w:pPr>
            <w:r w:rsidRPr="3C049DC4">
              <w:rPr>
                <w:rFonts w:ascii="Century Gothic" w:eastAsia="Century Gothic" w:hAnsi="Century Gothic" w:cs="Century Gothic"/>
                <w:b w:val="0"/>
                <w:bCs w:val="0"/>
                <w:color w:val="1F3864" w:themeColor="accent5" w:themeShade="80"/>
                <w:sz w:val="16"/>
                <w:szCs w:val="16"/>
              </w:rPr>
              <w:t>3</w:t>
            </w:r>
          </w:p>
        </w:tc>
        <w:tc>
          <w:tcPr>
            <w:tcW w:w="1560" w:type="dxa"/>
            <w:shd w:val="clear" w:color="auto" w:fill="FEEACA"/>
          </w:tcPr>
          <w:p w14:paraId="0F9DE2B3" w14:textId="2864B16E" w:rsidR="006A1FB1" w:rsidRPr="006A1FB1" w:rsidRDefault="099CCD5C"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Office for Students Compliance and Policy Officer</w:t>
            </w:r>
          </w:p>
        </w:tc>
        <w:tc>
          <w:tcPr>
            <w:tcW w:w="4819" w:type="dxa"/>
            <w:shd w:val="clear" w:color="auto" w:fill="FEEACA"/>
          </w:tcPr>
          <w:p w14:paraId="613315E2" w14:textId="3D30F1B3" w:rsidR="006A1FB1" w:rsidRPr="006A1FB1" w:rsidRDefault="099CCD5C"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 xml:space="preserve">Minor amendments made to job roles to reflect  changes in job titles </w:t>
            </w:r>
          </w:p>
          <w:p w14:paraId="370EA0E1" w14:textId="09801F18" w:rsidR="006A1FB1" w:rsidRPr="006A1FB1" w:rsidRDefault="099CCD5C"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 xml:space="preserve">Removed reference to the Open University (OU) from paragraph 9.53 - stage 3 – point 1 </w:t>
            </w:r>
          </w:p>
        </w:tc>
        <w:tc>
          <w:tcPr>
            <w:tcW w:w="1559" w:type="dxa"/>
            <w:shd w:val="clear" w:color="auto" w:fill="FEEACA"/>
          </w:tcPr>
          <w:p w14:paraId="473EA5E3" w14:textId="4B331E43" w:rsidR="006A1FB1" w:rsidRPr="00047AC4" w:rsidRDefault="2B72F18C"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NA</w:t>
            </w:r>
          </w:p>
        </w:tc>
        <w:tc>
          <w:tcPr>
            <w:tcW w:w="1151" w:type="dxa"/>
            <w:shd w:val="clear" w:color="auto" w:fill="FEEACA"/>
          </w:tcPr>
          <w:p w14:paraId="496EE09D" w14:textId="4AFC8908" w:rsidR="006A1FB1" w:rsidRPr="00047AC4" w:rsidRDefault="2B72F18C"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May 2022</w:t>
            </w:r>
          </w:p>
        </w:tc>
      </w:tr>
      <w:tr w:rsidR="006A1FB1" w:rsidRPr="00ED1F1A" w14:paraId="133C0CA1" w14:textId="77777777" w:rsidTr="4E889DAC">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266CEABB" w14:textId="75A08C48" w:rsidR="006A1FB1" w:rsidRPr="006A1FB1" w:rsidRDefault="008527A7" w:rsidP="3C049DC4">
            <w:pPr>
              <w:spacing w:line="360" w:lineRule="auto"/>
              <w:rPr>
                <w:rFonts w:ascii="Century Gothic" w:eastAsia="Century Gothic" w:hAnsi="Century Gothic" w:cs="Century Gothic"/>
                <w:b w:val="0"/>
                <w:bCs w:val="0"/>
                <w:color w:val="1F3864" w:themeColor="accent5" w:themeShade="80"/>
                <w:sz w:val="16"/>
                <w:szCs w:val="16"/>
              </w:rPr>
            </w:pPr>
            <w:r w:rsidRPr="3C049DC4">
              <w:rPr>
                <w:rFonts w:ascii="Century Gothic" w:eastAsia="Century Gothic" w:hAnsi="Century Gothic" w:cs="Century Gothic"/>
                <w:b w:val="0"/>
                <w:bCs w:val="0"/>
                <w:color w:val="1F3864" w:themeColor="accent5" w:themeShade="80"/>
                <w:sz w:val="16"/>
                <w:szCs w:val="16"/>
              </w:rPr>
              <w:t>4</w:t>
            </w:r>
          </w:p>
        </w:tc>
        <w:tc>
          <w:tcPr>
            <w:tcW w:w="1560" w:type="dxa"/>
            <w:shd w:val="clear" w:color="auto" w:fill="FEEACA"/>
          </w:tcPr>
          <w:p w14:paraId="3B75BE7B" w14:textId="43D44665" w:rsidR="006A1FB1" w:rsidRPr="006A1FB1" w:rsidRDefault="008527A7"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Head of Higher Education</w:t>
            </w:r>
          </w:p>
        </w:tc>
        <w:tc>
          <w:tcPr>
            <w:tcW w:w="4819" w:type="dxa"/>
            <w:shd w:val="clear" w:color="auto" w:fill="FEEACA"/>
          </w:tcPr>
          <w:p w14:paraId="2F195784" w14:textId="7BDD06BB" w:rsidR="006A1FB1" w:rsidRPr="006A1FB1" w:rsidRDefault="00F63C45"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Reviewed and no changes</w:t>
            </w:r>
          </w:p>
        </w:tc>
        <w:tc>
          <w:tcPr>
            <w:tcW w:w="1559" w:type="dxa"/>
            <w:shd w:val="clear" w:color="auto" w:fill="FEEACA"/>
          </w:tcPr>
          <w:p w14:paraId="7A3F2CD4" w14:textId="1F2C56F4" w:rsidR="006A1FB1" w:rsidRPr="006A1FB1" w:rsidRDefault="00C01D41"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To be ratified</w:t>
            </w:r>
            <w:r w:rsidR="00E14A5A" w:rsidRPr="3C049DC4">
              <w:rPr>
                <w:rFonts w:ascii="Century Gothic" w:eastAsia="Century Gothic" w:hAnsi="Century Gothic" w:cs="Century Gothic"/>
                <w:color w:val="1F3864" w:themeColor="accent5" w:themeShade="80"/>
                <w:sz w:val="16"/>
                <w:szCs w:val="16"/>
              </w:rPr>
              <w:t xml:space="preserve"> at </w:t>
            </w:r>
            <w:r w:rsidR="00F63C45" w:rsidRPr="3C049DC4">
              <w:rPr>
                <w:rFonts w:ascii="Century Gothic" w:eastAsia="Century Gothic" w:hAnsi="Century Gothic" w:cs="Century Gothic"/>
                <w:color w:val="1F3864" w:themeColor="accent5" w:themeShade="80"/>
                <w:sz w:val="16"/>
                <w:szCs w:val="16"/>
              </w:rPr>
              <w:t xml:space="preserve">HE Quality Standards Committee </w:t>
            </w:r>
            <w:r w:rsidRPr="3C049DC4">
              <w:rPr>
                <w:rFonts w:ascii="Century Gothic" w:eastAsia="Century Gothic" w:hAnsi="Century Gothic" w:cs="Century Gothic"/>
                <w:color w:val="1F3864" w:themeColor="accent5" w:themeShade="80"/>
                <w:sz w:val="16"/>
                <w:szCs w:val="16"/>
              </w:rPr>
              <w:t xml:space="preserve">April </w:t>
            </w:r>
            <w:r w:rsidR="00F63C45" w:rsidRPr="3C049DC4">
              <w:rPr>
                <w:rFonts w:ascii="Century Gothic" w:eastAsia="Century Gothic" w:hAnsi="Century Gothic" w:cs="Century Gothic"/>
                <w:color w:val="1F3864" w:themeColor="accent5" w:themeShade="80"/>
                <w:sz w:val="16"/>
                <w:szCs w:val="16"/>
              </w:rPr>
              <w:t>2023</w:t>
            </w:r>
            <w:r w:rsidRPr="3C049DC4">
              <w:rPr>
                <w:rFonts w:ascii="Century Gothic" w:eastAsia="Century Gothic" w:hAnsi="Century Gothic" w:cs="Century Gothic"/>
                <w:color w:val="1F3864" w:themeColor="accent5" w:themeShade="80"/>
                <w:sz w:val="16"/>
                <w:szCs w:val="16"/>
              </w:rPr>
              <w:t xml:space="preserve"> </w:t>
            </w:r>
          </w:p>
        </w:tc>
        <w:tc>
          <w:tcPr>
            <w:tcW w:w="1151" w:type="dxa"/>
            <w:shd w:val="clear" w:color="auto" w:fill="FEEACA"/>
          </w:tcPr>
          <w:p w14:paraId="64A7C4F6" w14:textId="45FB0040" w:rsidR="006A1FB1" w:rsidRPr="006A1FB1" w:rsidRDefault="00E14A5A"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 xml:space="preserve">March </w:t>
            </w:r>
            <w:r w:rsidR="00294C14" w:rsidRPr="3C049DC4">
              <w:rPr>
                <w:rFonts w:ascii="Century Gothic" w:eastAsia="Century Gothic" w:hAnsi="Century Gothic" w:cs="Century Gothic"/>
                <w:color w:val="1F3864" w:themeColor="accent5" w:themeShade="80"/>
                <w:sz w:val="16"/>
                <w:szCs w:val="16"/>
              </w:rPr>
              <w:t>2023</w:t>
            </w:r>
          </w:p>
        </w:tc>
      </w:tr>
      <w:tr w:rsidR="006A1FB1" w:rsidRPr="00ED1F1A" w14:paraId="39F53ED0" w14:textId="77777777" w:rsidTr="4E889DA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6B27E28E" w14:textId="41C0F3C4" w:rsidR="213E4AF1" w:rsidRDefault="213E4AF1" w:rsidP="3C049DC4">
            <w:pPr>
              <w:spacing w:line="360" w:lineRule="auto"/>
              <w:rPr>
                <w:rFonts w:ascii="Century Gothic" w:eastAsia="Century Gothic" w:hAnsi="Century Gothic" w:cs="Century Gothic"/>
                <w:b w:val="0"/>
                <w:bCs w:val="0"/>
                <w:color w:val="1F3864" w:themeColor="accent5" w:themeShade="80"/>
                <w:sz w:val="16"/>
                <w:szCs w:val="16"/>
              </w:rPr>
            </w:pPr>
            <w:r w:rsidRPr="3C049DC4">
              <w:rPr>
                <w:rFonts w:ascii="Century Gothic" w:eastAsia="Century Gothic" w:hAnsi="Century Gothic" w:cs="Century Gothic"/>
                <w:b w:val="0"/>
                <w:bCs w:val="0"/>
                <w:color w:val="1F3864" w:themeColor="accent5" w:themeShade="80"/>
                <w:sz w:val="16"/>
                <w:szCs w:val="16"/>
              </w:rPr>
              <w:t>5</w:t>
            </w:r>
          </w:p>
        </w:tc>
        <w:tc>
          <w:tcPr>
            <w:tcW w:w="1560" w:type="dxa"/>
            <w:shd w:val="clear" w:color="auto" w:fill="FEEACA"/>
          </w:tcPr>
          <w:p w14:paraId="0BA73390" w14:textId="43D44665" w:rsidR="0D412AAB" w:rsidRDefault="0D412AAB"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Head of Higher Education</w:t>
            </w:r>
          </w:p>
        </w:tc>
        <w:tc>
          <w:tcPr>
            <w:tcW w:w="4819" w:type="dxa"/>
            <w:shd w:val="clear" w:color="auto" w:fill="FEEACA"/>
          </w:tcPr>
          <w:p w14:paraId="5E08D426" w14:textId="7BDD06BB" w:rsidR="0D412AAB" w:rsidRDefault="0D412AAB"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Reviewed and no changes</w:t>
            </w:r>
          </w:p>
        </w:tc>
        <w:tc>
          <w:tcPr>
            <w:tcW w:w="1559" w:type="dxa"/>
            <w:shd w:val="clear" w:color="auto" w:fill="FEEACA"/>
          </w:tcPr>
          <w:p w14:paraId="462803EC" w14:textId="4E2E03F2" w:rsidR="0D412AAB" w:rsidRDefault="0D412AAB"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To be ratified at HE Quality Standards Committee April 202</w:t>
            </w:r>
            <w:r w:rsidR="26421617" w:rsidRPr="3C049DC4">
              <w:rPr>
                <w:rFonts w:ascii="Century Gothic" w:eastAsia="Century Gothic" w:hAnsi="Century Gothic" w:cs="Century Gothic"/>
                <w:color w:val="1F3864" w:themeColor="accent5" w:themeShade="80"/>
                <w:sz w:val="16"/>
                <w:szCs w:val="16"/>
              </w:rPr>
              <w:t>4</w:t>
            </w:r>
            <w:r w:rsidRPr="3C049DC4">
              <w:rPr>
                <w:rFonts w:ascii="Century Gothic" w:eastAsia="Century Gothic" w:hAnsi="Century Gothic" w:cs="Century Gothic"/>
                <w:color w:val="1F3864" w:themeColor="accent5" w:themeShade="80"/>
                <w:sz w:val="16"/>
                <w:szCs w:val="16"/>
              </w:rPr>
              <w:t xml:space="preserve"> </w:t>
            </w:r>
          </w:p>
        </w:tc>
        <w:tc>
          <w:tcPr>
            <w:tcW w:w="1151" w:type="dxa"/>
            <w:shd w:val="clear" w:color="auto" w:fill="FEEACA"/>
          </w:tcPr>
          <w:p w14:paraId="2E7D4A98" w14:textId="067B9017" w:rsidR="5CB7017D" w:rsidRDefault="5CB7017D" w:rsidP="3C049D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December 202</w:t>
            </w:r>
            <w:r w:rsidR="5D3B8D54" w:rsidRPr="3C049DC4">
              <w:rPr>
                <w:rFonts w:ascii="Century Gothic" w:eastAsia="Century Gothic" w:hAnsi="Century Gothic" w:cs="Century Gothic"/>
                <w:color w:val="1F3864" w:themeColor="accent5" w:themeShade="80"/>
                <w:sz w:val="16"/>
                <w:szCs w:val="16"/>
              </w:rPr>
              <w:t>3</w:t>
            </w:r>
          </w:p>
        </w:tc>
      </w:tr>
      <w:tr w:rsidR="09A848E2" w14:paraId="5BE85B8C" w14:textId="77777777" w:rsidTr="4E889DAC">
        <w:trPr>
          <w:trHeight w:val="300"/>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4EB1E3C4" w14:textId="5AE01FBA" w:rsidR="09A848E2" w:rsidRDefault="09A848E2" w:rsidP="3C049DC4">
            <w:pPr>
              <w:spacing w:line="360" w:lineRule="auto"/>
              <w:rPr>
                <w:rFonts w:ascii="Century Gothic" w:eastAsia="Century Gothic" w:hAnsi="Century Gothic" w:cs="Century Gothic"/>
                <w:b w:val="0"/>
                <w:bCs w:val="0"/>
                <w:color w:val="1F3864" w:themeColor="accent5" w:themeShade="80"/>
                <w:sz w:val="16"/>
                <w:szCs w:val="16"/>
              </w:rPr>
            </w:pPr>
          </w:p>
        </w:tc>
        <w:tc>
          <w:tcPr>
            <w:tcW w:w="1560" w:type="dxa"/>
            <w:shd w:val="clear" w:color="auto" w:fill="FEEACA"/>
          </w:tcPr>
          <w:p w14:paraId="1ADB37AD" w14:textId="624F8ED6" w:rsidR="09A848E2" w:rsidRDefault="09A848E2"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Head of Higher Education</w:t>
            </w:r>
            <w:r w:rsidR="3C6F2DD5" w:rsidRPr="3C049DC4">
              <w:rPr>
                <w:rFonts w:ascii="Century Gothic" w:eastAsia="Century Gothic" w:hAnsi="Century Gothic" w:cs="Century Gothic"/>
                <w:color w:val="1F3864" w:themeColor="accent5" w:themeShade="80"/>
                <w:sz w:val="16"/>
                <w:szCs w:val="16"/>
              </w:rPr>
              <w:t xml:space="preserve"> Quality Assurance</w:t>
            </w:r>
          </w:p>
        </w:tc>
        <w:tc>
          <w:tcPr>
            <w:tcW w:w="4819" w:type="dxa"/>
            <w:shd w:val="clear" w:color="auto" w:fill="FEEACA"/>
          </w:tcPr>
          <w:p w14:paraId="7505A192" w14:textId="4197C562" w:rsidR="3C6F2DD5" w:rsidRDefault="3C6F2DD5"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Policy r</w:t>
            </w:r>
            <w:r w:rsidR="09A848E2" w:rsidRPr="3C049DC4">
              <w:rPr>
                <w:rFonts w:ascii="Century Gothic" w:eastAsia="Century Gothic" w:hAnsi="Century Gothic" w:cs="Century Gothic"/>
                <w:color w:val="1F3864" w:themeColor="accent5" w:themeShade="80"/>
                <w:sz w:val="16"/>
                <w:szCs w:val="16"/>
              </w:rPr>
              <w:t>eview</w:t>
            </w:r>
          </w:p>
          <w:p w14:paraId="11A7A485" w14:textId="6E38D74A" w:rsidR="09A848E2" w:rsidRDefault="09A848E2"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p w14:paraId="598FA7EF" w14:textId="364030CB" w:rsidR="3C6F2DD5" w:rsidRDefault="3C6F2DD5"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Changes to job titles</w:t>
            </w:r>
          </w:p>
        </w:tc>
        <w:tc>
          <w:tcPr>
            <w:tcW w:w="1559" w:type="dxa"/>
            <w:shd w:val="clear" w:color="auto" w:fill="FEEACA"/>
          </w:tcPr>
          <w:p w14:paraId="4E154F9E" w14:textId="745D631F" w:rsidR="09A848E2" w:rsidRDefault="09A848E2"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To be ratified at HE Quality Standards Committee April 202</w:t>
            </w:r>
            <w:r w:rsidR="2CA91DF7" w:rsidRPr="3C049DC4">
              <w:rPr>
                <w:rFonts w:ascii="Century Gothic" w:eastAsia="Century Gothic" w:hAnsi="Century Gothic" w:cs="Century Gothic"/>
                <w:color w:val="1F3864" w:themeColor="accent5" w:themeShade="80"/>
                <w:sz w:val="16"/>
                <w:szCs w:val="16"/>
              </w:rPr>
              <w:t>5</w:t>
            </w:r>
          </w:p>
        </w:tc>
        <w:tc>
          <w:tcPr>
            <w:tcW w:w="1151" w:type="dxa"/>
            <w:shd w:val="clear" w:color="auto" w:fill="FEEACA"/>
          </w:tcPr>
          <w:p w14:paraId="1898683A" w14:textId="064D749E" w:rsidR="2CA91DF7" w:rsidRDefault="2CA91DF7" w:rsidP="3C049D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C049DC4">
              <w:rPr>
                <w:rFonts w:ascii="Century Gothic" w:eastAsia="Century Gothic" w:hAnsi="Century Gothic" w:cs="Century Gothic"/>
                <w:color w:val="1F3864" w:themeColor="accent5" w:themeShade="80"/>
                <w:sz w:val="16"/>
                <w:szCs w:val="16"/>
              </w:rPr>
              <w:t>February 2025</w:t>
            </w:r>
          </w:p>
        </w:tc>
      </w:tr>
      <w:tr w:rsidR="00774420" w14:paraId="3622D80E" w14:textId="77777777" w:rsidTr="000D71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DE49E17" w14:textId="09F3C780" w:rsidR="00774420" w:rsidRDefault="00774420" w:rsidP="00774420">
            <w:pPr>
              <w:spacing w:line="360" w:lineRule="auto"/>
              <w:rPr>
                <w:rFonts w:ascii="Century Gothic" w:eastAsia="Century Gothic" w:hAnsi="Century Gothic" w:cs="Century Gothic"/>
                <w:b w:val="0"/>
                <w:bCs w:val="0"/>
                <w:color w:val="1F3864" w:themeColor="accent5" w:themeShade="80"/>
                <w:sz w:val="16"/>
                <w:szCs w:val="16"/>
              </w:rPr>
            </w:pPr>
            <w:r>
              <w:rPr>
                <w:rFonts w:ascii="Century Gothic" w:eastAsia="Century Gothic" w:hAnsi="Century Gothic" w:cs="Century Gothic"/>
                <w:color w:val="1F3864" w:themeColor="accent5" w:themeShade="80"/>
                <w:sz w:val="16"/>
                <w:szCs w:val="16"/>
              </w:rPr>
              <w:t>V7</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691C154" w14:textId="231D1F65" w:rsidR="00774420" w:rsidRPr="3C049DC4" w:rsidRDefault="00774420" w:rsidP="00774420">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Director of Higer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0B29FB7" w14:textId="2F4A2289" w:rsidR="00774420" w:rsidRPr="3C049DC4" w:rsidRDefault="00774420" w:rsidP="00774420">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Policy Review – minor changes to terminology and job titles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FA5EE0C" w14:textId="4A1BA820" w:rsidR="00774420" w:rsidRPr="3C049DC4" w:rsidRDefault="00774420" w:rsidP="00774420">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Director of Higer Education</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2BAA0F89" w14:textId="220DC2F8" w:rsidR="00774420" w:rsidRPr="3C049DC4" w:rsidRDefault="00774420" w:rsidP="00774420">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Next Review Feb 2026</w:t>
            </w:r>
          </w:p>
        </w:tc>
      </w:tr>
      <w:tr w:rsidR="002F0FFE" w14:paraId="7E025153" w14:textId="77777777" w:rsidTr="000D716D">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8358B68" w14:textId="6FE2760D" w:rsidR="002F0FFE" w:rsidRDefault="002F0FFE" w:rsidP="00774420">
            <w:pPr>
              <w:spacing w:line="360" w:lineRule="auto"/>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V8</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19320075" w14:textId="32C0492C" w:rsidR="002F0FFE" w:rsidRDefault="002F0FFE" w:rsidP="00774420">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Head of HE QA</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E483CA8" w14:textId="4494BE31" w:rsidR="002F0FFE" w:rsidRDefault="002F0FFE" w:rsidP="00774420">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Policy Review no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44BBCB2" w14:textId="7F034987" w:rsidR="002F0FFE" w:rsidRDefault="002F0FFE" w:rsidP="00774420">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HE SLT/Academic Board</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0892ACF8" w14:textId="49913BAB" w:rsidR="002F0FFE" w:rsidRDefault="002F0FFE" w:rsidP="00774420">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February 2026</w:t>
            </w:r>
          </w:p>
        </w:tc>
      </w:tr>
    </w:tbl>
    <w:p w14:paraId="60C521D4" w14:textId="3C894EE0" w:rsidR="00F668CD" w:rsidRDefault="00F668CD" w:rsidP="3C049DC4">
      <w:pPr>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br w:type="page"/>
      </w:r>
    </w:p>
    <w:p w14:paraId="1B16F398" w14:textId="3EECF30A" w:rsidR="00EF07F5" w:rsidRDefault="00A12CD3" w:rsidP="3C049DC4">
      <w:pPr>
        <w:pStyle w:val="ListParagraph"/>
        <w:numPr>
          <w:ilvl w:val="0"/>
          <w:numId w:val="10"/>
        </w:numPr>
        <w:spacing w:before="240" w:after="240" w:line="360" w:lineRule="auto"/>
        <w:ind w:left="709" w:hanging="695"/>
        <w:rPr>
          <w:rFonts w:ascii="Century Gothic" w:eastAsia="Century Gothic" w:hAnsi="Century Gothic" w:cs="Century Gothic"/>
          <w:b/>
          <w:bCs/>
          <w:color w:val="1F3864" w:themeColor="accent5" w:themeShade="80"/>
          <w:sz w:val="28"/>
          <w:szCs w:val="28"/>
        </w:rPr>
      </w:pPr>
      <w:r w:rsidRPr="3C049DC4">
        <w:rPr>
          <w:rFonts w:ascii="Century Gothic" w:eastAsia="Century Gothic" w:hAnsi="Century Gothic" w:cs="Century Gothic"/>
          <w:b/>
          <w:bCs/>
          <w:color w:val="1F3864" w:themeColor="accent5" w:themeShade="80"/>
          <w:sz w:val="28"/>
          <w:szCs w:val="28"/>
        </w:rPr>
        <w:lastRenderedPageBreak/>
        <w:t>P</w:t>
      </w:r>
      <w:r w:rsidR="1D063F34" w:rsidRPr="3C049DC4">
        <w:rPr>
          <w:rFonts w:ascii="Century Gothic" w:eastAsia="Century Gothic" w:hAnsi="Century Gothic" w:cs="Century Gothic"/>
          <w:b/>
          <w:bCs/>
          <w:color w:val="1F3864" w:themeColor="accent5" w:themeShade="80"/>
          <w:sz w:val="28"/>
          <w:szCs w:val="28"/>
        </w:rPr>
        <w:t>olicy</w:t>
      </w:r>
      <w:r w:rsidR="00EF07F5" w:rsidRPr="3C049DC4">
        <w:rPr>
          <w:rFonts w:ascii="Century Gothic" w:eastAsia="Century Gothic" w:hAnsi="Century Gothic" w:cs="Century Gothic"/>
          <w:b/>
          <w:bCs/>
          <w:color w:val="1F3864" w:themeColor="accent5" w:themeShade="80"/>
          <w:sz w:val="28"/>
          <w:szCs w:val="28"/>
        </w:rPr>
        <w:t xml:space="preserve"> S</w:t>
      </w:r>
      <w:r w:rsidR="52B9F00B" w:rsidRPr="3C049DC4">
        <w:rPr>
          <w:rFonts w:ascii="Century Gothic" w:eastAsia="Century Gothic" w:hAnsi="Century Gothic" w:cs="Century Gothic"/>
          <w:b/>
          <w:bCs/>
          <w:color w:val="1F3864" w:themeColor="accent5" w:themeShade="80"/>
          <w:sz w:val="28"/>
          <w:szCs w:val="28"/>
        </w:rPr>
        <w:t>tatement</w:t>
      </w:r>
    </w:p>
    <w:p w14:paraId="5A8BBC99" w14:textId="77777777" w:rsidR="00EF07F5" w:rsidRDefault="00EF07F5" w:rsidP="3C049DC4">
      <w:pPr>
        <w:pStyle w:val="ListParagraph"/>
        <w:spacing w:before="240" w:after="240" w:line="360" w:lineRule="auto"/>
        <w:ind w:left="709"/>
        <w:rPr>
          <w:rFonts w:ascii="Century Gothic" w:eastAsia="Century Gothic" w:hAnsi="Century Gothic" w:cs="Century Gothic"/>
          <w:b/>
          <w:bCs/>
          <w:color w:val="1F3864" w:themeColor="accent5" w:themeShade="80"/>
          <w:sz w:val="28"/>
          <w:szCs w:val="28"/>
        </w:rPr>
      </w:pPr>
    </w:p>
    <w:p w14:paraId="3DCF2421" w14:textId="1B57FDB8" w:rsidR="00EF07F5" w:rsidRPr="0044758F" w:rsidRDefault="745D9280" w:rsidP="3C049DC4">
      <w:pPr>
        <w:pStyle w:val="ListParagraph"/>
        <w:numPr>
          <w:ilvl w:val="1"/>
          <w:numId w:val="10"/>
        </w:numPr>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Derby College Group (DCG)</w:t>
      </w:r>
      <w:r w:rsidR="00EF07F5" w:rsidRPr="3C049DC4">
        <w:rPr>
          <w:rFonts w:ascii="Century Gothic" w:eastAsia="Century Gothic" w:hAnsi="Century Gothic" w:cs="Century Gothic"/>
          <w:color w:val="1F3864" w:themeColor="accent5" w:themeShade="80"/>
        </w:rPr>
        <w:t xml:space="preserve"> is committed to a fair and open admission system that considers all applicants on their individual merits. </w:t>
      </w:r>
      <w:r w:rsidR="3F5B0389" w:rsidRPr="3C049DC4">
        <w:rPr>
          <w:rFonts w:ascii="Century Gothic" w:eastAsia="Century Gothic" w:hAnsi="Century Gothic" w:cs="Century Gothic"/>
          <w:color w:val="1F3864" w:themeColor="accent5" w:themeShade="80"/>
        </w:rPr>
        <w:t>DCG</w:t>
      </w:r>
      <w:r w:rsidR="00EF07F5" w:rsidRPr="3C049DC4">
        <w:rPr>
          <w:rFonts w:ascii="Century Gothic" w:eastAsia="Century Gothic" w:hAnsi="Century Gothic" w:cs="Century Gothic"/>
          <w:color w:val="1F3864" w:themeColor="accent5" w:themeShade="80"/>
        </w:rPr>
        <w:t xml:space="preserve"> is committed to raising student aspirations, widening participation and promoting equal access to programmes of study. </w:t>
      </w:r>
      <w:r w:rsidR="2953712A" w:rsidRPr="3C049DC4">
        <w:rPr>
          <w:rFonts w:ascii="Century Gothic" w:eastAsia="Century Gothic" w:hAnsi="Century Gothic" w:cs="Century Gothic"/>
          <w:color w:val="1F3864" w:themeColor="accent5" w:themeShade="80"/>
        </w:rPr>
        <w:t>DCG</w:t>
      </w:r>
      <w:r w:rsidR="00EF07F5" w:rsidRPr="3C049DC4">
        <w:rPr>
          <w:rFonts w:ascii="Century Gothic" w:eastAsia="Century Gothic" w:hAnsi="Century Gothic" w:cs="Century Gothic"/>
          <w:color w:val="1F3864" w:themeColor="accent5" w:themeShade="80"/>
        </w:rPr>
        <w:t xml:space="preserve"> aims to offer a broad range of programmes to students of all abilities and to ensure that students are appropriately matched to a programme of study. </w:t>
      </w:r>
      <w:r w:rsidR="665CAED4" w:rsidRPr="3C049DC4">
        <w:rPr>
          <w:rFonts w:ascii="Century Gothic" w:eastAsia="Century Gothic" w:hAnsi="Century Gothic" w:cs="Century Gothic"/>
          <w:color w:val="1F3864" w:themeColor="accent5" w:themeShade="80"/>
        </w:rPr>
        <w:t>DCG</w:t>
      </w:r>
      <w:r w:rsidR="00EF07F5" w:rsidRPr="3C049DC4">
        <w:rPr>
          <w:rFonts w:ascii="Century Gothic" w:eastAsia="Century Gothic" w:hAnsi="Century Gothic" w:cs="Century Gothic"/>
          <w:color w:val="1F3864" w:themeColor="accent5" w:themeShade="80"/>
        </w:rPr>
        <w:t xml:space="preserve"> will apply the principles inherent in this policy to all applicants, including applicants for full-time and part-time higher education programmes. The underlying principle of the Admissions Policy is that all individual students seeking a place at </w:t>
      </w:r>
      <w:r w:rsidR="01862822" w:rsidRPr="3C049DC4">
        <w:rPr>
          <w:rFonts w:ascii="Century Gothic" w:eastAsia="Century Gothic" w:hAnsi="Century Gothic" w:cs="Century Gothic"/>
          <w:color w:val="1F3864" w:themeColor="accent5" w:themeShade="80"/>
        </w:rPr>
        <w:t>DCG</w:t>
      </w:r>
      <w:r w:rsidR="00EF07F5" w:rsidRPr="3C049DC4">
        <w:rPr>
          <w:rFonts w:ascii="Century Gothic" w:eastAsia="Century Gothic" w:hAnsi="Century Gothic" w:cs="Century Gothic"/>
          <w:color w:val="1F3864" w:themeColor="accent5" w:themeShade="80"/>
        </w:rPr>
        <w:t xml:space="preserve"> are appropriately matched to a suitable programme of study. </w:t>
      </w:r>
    </w:p>
    <w:p w14:paraId="4EA9EB11" w14:textId="77777777" w:rsidR="00EF07F5" w:rsidRDefault="00EF07F5" w:rsidP="3C049DC4">
      <w:pPr>
        <w:pStyle w:val="ListParagraph"/>
        <w:spacing w:before="240" w:after="240" w:line="360" w:lineRule="auto"/>
        <w:ind w:left="792"/>
        <w:rPr>
          <w:rFonts w:ascii="Century Gothic" w:eastAsia="Century Gothic" w:hAnsi="Century Gothic" w:cs="Century Gothic"/>
          <w:b/>
          <w:bCs/>
          <w:color w:val="1F3864" w:themeColor="accent5" w:themeShade="80"/>
          <w:sz w:val="28"/>
          <w:szCs w:val="28"/>
        </w:rPr>
      </w:pPr>
    </w:p>
    <w:p w14:paraId="67ABC649" w14:textId="27AF163D" w:rsidR="00EF07F5" w:rsidRDefault="00EF07F5" w:rsidP="3C049DC4">
      <w:pPr>
        <w:pStyle w:val="ListParagraph"/>
        <w:numPr>
          <w:ilvl w:val="0"/>
          <w:numId w:val="10"/>
        </w:numPr>
        <w:spacing w:before="240" w:after="240" w:line="360" w:lineRule="auto"/>
        <w:ind w:left="708" w:hanging="697"/>
        <w:rPr>
          <w:rFonts w:ascii="Century Gothic" w:eastAsia="Century Gothic" w:hAnsi="Century Gothic" w:cs="Century Gothic"/>
          <w:b/>
          <w:bCs/>
          <w:color w:val="1F3864" w:themeColor="accent5" w:themeShade="80"/>
          <w:sz w:val="28"/>
          <w:szCs w:val="28"/>
        </w:rPr>
      </w:pPr>
      <w:r w:rsidRPr="3C049DC4">
        <w:rPr>
          <w:rFonts w:ascii="Century Gothic" w:eastAsia="Century Gothic" w:hAnsi="Century Gothic" w:cs="Century Gothic"/>
          <w:b/>
          <w:bCs/>
          <w:color w:val="1F3864" w:themeColor="accent5" w:themeShade="80"/>
          <w:sz w:val="28"/>
          <w:szCs w:val="28"/>
        </w:rPr>
        <w:t>D</w:t>
      </w:r>
      <w:r w:rsidR="095463B3" w:rsidRPr="3C049DC4">
        <w:rPr>
          <w:rFonts w:ascii="Century Gothic" w:eastAsia="Century Gothic" w:hAnsi="Century Gothic" w:cs="Century Gothic"/>
          <w:b/>
          <w:bCs/>
          <w:color w:val="1F3864" w:themeColor="accent5" w:themeShade="80"/>
          <w:sz w:val="28"/>
          <w:szCs w:val="28"/>
        </w:rPr>
        <w:t>efinitions</w:t>
      </w:r>
    </w:p>
    <w:p w14:paraId="43E2D9ED" w14:textId="77777777" w:rsidR="00EF07F5" w:rsidRDefault="00EF07F5" w:rsidP="3C049DC4">
      <w:pPr>
        <w:pStyle w:val="ListParagraph"/>
        <w:spacing w:before="240" w:after="240" w:line="360" w:lineRule="auto"/>
        <w:ind w:left="708"/>
        <w:rPr>
          <w:rFonts w:ascii="Century Gothic" w:eastAsia="Century Gothic" w:hAnsi="Century Gothic" w:cs="Century Gothic"/>
          <w:color w:val="1F3864" w:themeColor="accent5" w:themeShade="80"/>
        </w:rPr>
      </w:pPr>
    </w:p>
    <w:p w14:paraId="70CF3927" w14:textId="77777777" w:rsidR="00EF07F5" w:rsidRPr="0044758F" w:rsidRDefault="00EF07F5" w:rsidP="3C049DC4">
      <w:pPr>
        <w:pStyle w:val="ListParagraph"/>
        <w:numPr>
          <w:ilvl w:val="1"/>
          <w:numId w:val="10"/>
        </w:numPr>
        <w:spacing w:before="240" w:after="240"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This document sets out the policy and procedures governing initial student enquiries, information advice and guidance (IAG) provision, formal application, selection interview, and offers for students on taught programmes validated by an awarding organisation or partner institution.</w:t>
      </w:r>
    </w:p>
    <w:p w14:paraId="58D08820" w14:textId="77777777" w:rsidR="00EF07F5" w:rsidRPr="0044758F" w:rsidRDefault="00EF07F5" w:rsidP="3C049DC4">
      <w:pPr>
        <w:pStyle w:val="ListParagraph"/>
        <w:spacing w:before="240" w:after="240" w:line="360" w:lineRule="auto"/>
        <w:ind w:left="792"/>
        <w:rPr>
          <w:rFonts w:ascii="Century Gothic" w:eastAsia="Century Gothic" w:hAnsi="Century Gothic" w:cs="Century Gothic"/>
          <w:color w:val="1F3864" w:themeColor="accent5" w:themeShade="80"/>
        </w:rPr>
      </w:pPr>
    </w:p>
    <w:p w14:paraId="5303104F" w14:textId="4B0CA2C0" w:rsidR="00EF07F5" w:rsidRDefault="00EF07F5" w:rsidP="3C049DC4">
      <w:pPr>
        <w:pStyle w:val="ListParagraph"/>
        <w:numPr>
          <w:ilvl w:val="0"/>
          <w:numId w:val="10"/>
        </w:numPr>
        <w:spacing w:before="240" w:after="240" w:line="360" w:lineRule="auto"/>
        <w:ind w:left="709" w:hanging="695"/>
        <w:rPr>
          <w:rFonts w:ascii="Century Gothic" w:eastAsia="Century Gothic" w:hAnsi="Century Gothic" w:cs="Century Gothic"/>
          <w:b/>
          <w:bCs/>
          <w:color w:val="1F3864" w:themeColor="accent5" w:themeShade="80"/>
          <w:sz w:val="28"/>
          <w:szCs w:val="28"/>
        </w:rPr>
      </w:pPr>
      <w:r w:rsidRPr="3C049DC4">
        <w:rPr>
          <w:rFonts w:ascii="Century Gothic" w:eastAsia="Century Gothic" w:hAnsi="Century Gothic" w:cs="Century Gothic"/>
          <w:b/>
          <w:bCs/>
          <w:color w:val="1F3864" w:themeColor="accent5" w:themeShade="80"/>
          <w:sz w:val="28"/>
          <w:szCs w:val="28"/>
        </w:rPr>
        <w:t>P</w:t>
      </w:r>
      <w:r w:rsidR="46A049E0" w:rsidRPr="3C049DC4">
        <w:rPr>
          <w:rFonts w:ascii="Century Gothic" w:eastAsia="Century Gothic" w:hAnsi="Century Gothic" w:cs="Century Gothic"/>
          <w:b/>
          <w:bCs/>
          <w:color w:val="1F3864" w:themeColor="accent5" w:themeShade="80"/>
          <w:sz w:val="28"/>
          <w:szCs w:val="28"/>
        </w:rPr>
        <w:t>rinciples</w:t>
      </w:r>
    </w:p>
    <w:p w14:paraId="37959AFD" w14:textId="77777777" w:rsidR="00EF07F5" w:rsidRDefault="00EF07F5" w:rsidP="3C049DC4">
      <w:pPr>
        <w:pStyle w:val="ListParagraph"/>
        <w:spacing w:before="240" w:after="240" w:line="360" w:lineRule="auto"/>
        <w:ind w:left="709"/>
        <w:rPr>
          <w:rFonts w:ascii="Century Gothic" w:eastAsia="Century Gothic" w:hAnsi="Century Gothic" w:cs="Century Gothic"/>
          <w:b/>
          <w:bCs/>
          <w:color w:val="1F3864" w:themeColor="accent5" w:themeShade="80"/>
          <w:sz w:val="28"/>
          <w:szCs w:val="28"/>
        </w:rPr>
      </w:pPr>
    </w:p>
    <w:p w14:paraId="0167B228" w14:textId="77777777" w:rsidR="00EF07F5" w:rsidRPr="0044758F" w:rsidRDefault="00EF07F5" w:rsidP="3C049DC4">
      <w:pPr>
        <w:pStyle w:val="ListParagraph"/>
        <w:numPr>
          <w:ilvl w:val="1"/>
          <w:numId w:val="10"/>
        </w:numPr>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This admissions policy aims to:</w:t>
      </w:r>
    </w:p>
    <w:p w14:paraId="022A5EA2"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2E7D25E0" w14:textId="77777777" w:rsidR="00EF07F5" w:rsidRDefault="00EF07F5" w:rsidP="3C049DC4">
      <w:pPr>
        <w:pStyle w:val="Default"/>
        <w:numPr>
          <w:ilvl w:val="0"/>
          <w:numId w:val="11"/>
        </w:numPr>
        <w:spacing w:after="38"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create a student body that is balanced and diverse in terms of cultural background and experience;</w:t>
      </w:r>
    </w:p>
    <w:p w14:paraId="1222CA1F" w14:textId="77777777" w:rsidR="00EF07F5" w:rsidRDefault="00EF07F5" w:rsidP="3C049DC4">
      <w:pPr>
        <w:pStyle w:val="Default"/>
        <w:numPr>
          <w:ilvl w:val="0"/>
          <w:numId w:val="11"/>
        </w:numPr>
        <w:spacing w:after="38"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recruit students with a genuine intention to study and fully complete their programme of study;</w:t>
      </w:r>
    </w:p>
    <w:p w14:paraId="5BB0B3E1" w14:textId="77777777" w:rsidR="00EF07F5" w:rsidRDefault="00EF07F5" w:rsidP="3C049DC4">
      <w:pPr>
        <w:pStyle w:val="Default"/>
        <w:numPr>
          <w:ilvl w:val="0"/>
          <w:numId w:val="11"/>
        </w:numPr>
        <w:spacing w:after="38"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recruit students who have the ability to successfully complete their chosen programme at threshold and beyond, whatever their background;</w:t>
      </w:r>
    </w:p>
    <w:p w14:paraId="24F1B22B" w14:textId="77777777" w:rsidR="00EF07F5" w:rsidRDefault="00EF07F5" w:rsidP="3C049DC4">
      <w:pPr>
        <w:pStyle w:val="Default"/>
        <w:numPr>
          <w:ilvl w:val="0"/>
          <w:numId w:val="11"/>
        </w:numPr>
        <w:spacing w:after="38"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recognise the need for inclusivity, diversity and equal opportunity;</w:t>
      </w:r>
    </w:p>
    <w:p w14:paraId="674CDB4F" w14:textId="2FA2205D" w:rsidR="00EF07F5" w:rsidRDefault="00EF07F5" w:rsidP="3C049DC4">
      <w:pPr>
        <w:pStyle w:val="Default"/>
        <w:numPr>
          <w:ilvl w:val="0"/>
          <w:numId w:val="11"/>
        </w:numPr>
        <w:spacing w:after="38"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ensure that disability does not prevent someone from making an application to or being accepted by </w:t>
      </w:r>
      <w:r w:rsidR="71CB8B1E"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1"/>
          <w:szCs w:val="21"/>
        </w:rPr>
        <w:t xml:space="preserve"> and/or completing the programme successfully. </w:t>
      </w:r>
    </w:p>
    <w:p w14:paraId="0A864EAD"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5D8508AE" w14:textId="0A0DCA18" w:rsidR="00EF07F5" w:rsidRDefault="47577CD2"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lastRenderedPageBreak/>
        <w:t>DCG</w:t>
      </w:r>
      <w:r w:rsidR="00EF07F5" w:rsidRPr="3C049DC4">
        <w:rPr>
          <w:rFonts w:ascii="Century Gothic" w:eastAsia="Century Gothic" w:hAnsi="Century Gothic" w:cs="Century Gothic"/>
          <w:color w:val="1F3864" w:themeColor="accent5" w:themeShade="80"/>
          <w:sz w:val="22"/>
          <w:szCs w:val="22"/>
        </w:rPr>
        <w:t xml:space="preserve"> will endeavour to achieve these aims by:</w:t>
      </w:r>
    </w:p>
    <w:p w14:paraId="53AAE023"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5D659241" w14:textId="00830FE8" w:rsidR="00EF07F5" w:rsidRDefault="00EF07F5" w:rsidP="3C049DC4">
      <w:pPr>
        <w:pStyle w:val="Default"/>
        <w:numPr>
          <w:ilvl w:val="0"/>
          <w:numId w:val="12"/>
        </w:numPr>
        <w:spacing w:after="35"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encouraging applications from all those with the motivation and academic ability to succeed at </w:t>
      </w:r>
      <w:r w:rsidR="0CD91D39"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w:t>
      </w:r>
    </w:p>
    <w:p w14:paraId="1CA8A4E7" w14:textId="77777777" w:rsidR="00EF07F5" w:rsidRDefault="00EF07F5" w:rsidP="3C049DC4">
      <w:pPr>
        <w:pStyle w:val="Default"/>
        <w:numPr>
          <w:ilvl w:val="0"/>
          <w:numId w:val="12"/>
        </w:numPr>
        <w:spacing w:after="35"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assessing each application on an individual basis and interview face-to-face/online wherever possible;</w:t>
      </w:r>
    </w:p>
    <w:p w14:paraId="0CCAEADE" w14:textId="77777777" w:rsidR="00EF07F5" w:rsidRDefault="00EF07F5" w:rsidP="3C049DC4">
      <w:pPr>
        <w:pStyle w:val="Default"/>
        <w:numPr>
          <w:ilvl w:val="0"/>
          <w:numId w:val="12"/>
        </w:numPr>
        <w:spacing w:after="35"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offering places to applicants who have the potential to successfully complete their programme of study;</w:t>
      </w:r>
    </w:p>
    <w:p w14:paraId="5FA0FBEC" w14:textId="77777777" w:rsidR="00EF07F5" w:rsidRDefault="00EF07F5" w:rsidP="3C049DC4">
      <w:pPr>
        <w:pStyle w:val="Default"/>
        <w:numPr>
          <w:ilvl w:val="0"/>
          <w:numId w:val="12"/>
        </w:numPr>
        <w:spacing w:after="35"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maintaining transparency in the recruitment and admissions process. </w:t>
      </w:r>
    </w:p>
    <w:p w14:paraId="3DED6C32" w14:textId="77777777" w:rsidR="00EF07F5" w:rsidRDefault="00EF07F5" w:rsidP="3C049DC4">
      <w:pPr>
        <w:spacing w:line="360" w:lineRule="auto"/>
        <w:ind w:left="737" w:hanging="737"/>
        <w:rPr>
          <w:rFonts w:ascii="Century Gothic" w:eastAsia="Century Gothic" w:hAnsi="Century Gothic" w:cs="Century Gothic"/>
          <w:color w:val="1F3864" w:themeColor="accent5" w:themeShade="80"/>
        </w:rPr>
      </w:pPr>
    </w:p>
    <w:p w14:paraId="585C7D60" w14:textId="251A748F" w:rsidR="00EF07F5" w:rsidRPr="0044758F" w:rsidRDefault="60E7F9B2" w:rsidP="3C049DC4">
      <w:pPr>
        <w:pStyle w:val="ListParagraph"/>
        <w:numPr>
          <w:ilvl w:val="1"/>
          <w:numId w:val="10"/>
        </w:numPr>
        <w:spacing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DCG</w:t>
      </w:r>
      <w:r w:rsidR="00EF07F5" w:rsidRPr="3C049DC4">
        <w:rPr>
          <w:rFonts w:ascii="Century Gothic" w:eastAsia="Century Gothic" w:hAnsi="Century Gothic" w:cs="Century Gothic"/>
          <w:color w:val="1F3864" w:themeColor="accent5" w:themeShade="80"/>
        </w:rPr>
        <w:t xml:space="preserve"> is committed to quality of access to learning for all, and to widening the participation of students from under-represented, disadvantaged and previously excluded groups. This policy governs the admission of individuals to </w:t>
      </w:r>
      <w:r w:rsidR="10B36021" w:rsidRPr="3C049DC4">
        <w:rPr>
          <w:rFonts w:ascii="Century Gothic" w:eastAsia="Century Gothic" w:hAnsi="Century Gothic" w:cs="Century Gothic"/>
          <w:color w:val="1F3864" w:themeColor="accent5" w:themeShade="80"/>
        </w:rPr>
        <w:t>DCG</w:t>
      </w:r>
      <w:r w:rsidR="00EF07F5" w:rsidRPr="3C049DC4">
        <w:rPr>
          <w:rFonts w:ascii="Century Gothic" w:eastAsia="Century Gothic" w:hAnsi="Century Gothic" w:cs="Century Gothic"/>
          <w:color w:val="1F3864" w:themeColor="accent5" w:themeShade="80"/>
        </w:rPr>
        <w:t xml:space="preserve"> as students.</w:t>
      </w:r>
    </w:p>
    <w:p w14:paraId="6F42A317" w14:textId="77777777" w:rsidR="00EF07F5" w:rsidRDefault="00EF07F5" w:rsidP="3C049DC4">
      <w:pPr>
        <w:spacing w:line="360" w:lineRule="auto"/>
        <w:ind w:left="737" w:hanging="737"/>
        <w:rPr>
          <w:rFonts w:ascii="Century Gothic" w:eastAsia="Century Gothic" w:hAnsi="Century Gothic" w:cs="Century Gothic"/>
          <w:color w:val="1F3864" w:themeColor="accent5" w:themeShade="80"/>
        </w:rPr>
      </w:pPr>
    </w:p>
    <w:p w14:paraId="6A7793AD" w14:textId="659B7AB5"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3.4.</w:t>
      </w:r>
      <w:r>
        <w:tab/>
      </w:r>
      <w:r w:rsidR="00C2D231"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will ensure that it meets its requirements under the Equality Act. This means that that all applicants are treated fairly and given equal opportunities to apply for programmes of study. Within the Equality Act attention is given to ensure the following protected characteristics are supported: </w:t>
      </w:r>
    </w:p>
    <w:p w14:paraId="08694A76"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4A5A58F3" w14:textId="77777777" w:rsidR="00EF07F5" w:rsidRDefault="00EF07F5" w:rsidP="3C049DC4">
      <w:pPr>
        <w:pStyle w:val="Default"/>
        <w:numPr>
          <w:ilvl w:val="0"/>
          <w:numId w:val="13"/>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Age</w:t>
      </w:r>
    </w:p>
    <w:p w14:paraId="07133214" w14:textId="77777777" w:rsidR="00EF07F5" w:rsidRDefault="00EF07F5" w:rsidP="3C049DC4">
      <w:pPr>
        <w:pStyle w:val="Default"/>
        <w:numPr>
          <w:ilvl w:val="0"/>
          <w:numId w:val="13"/>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Sex</w:t>
      </w:r>
    </w:p>
    <w:p w14:paraId="0674EDE7" w14:textId="77777777" w:rsidR="00EF07F5" w:rsidRDefault="00EF07F5" w:rsidP="3C049DC4">
      <w:pPr>
        <w:pStyle w:val="Default"/>
        <w:numPr>
          <w:ilvl w:val="0"/>
          <w:numId w:val="13"/>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Disability</w:t>
      </w:r>
    </w:p>
    <w:p w14:paraId="4ED77914" w14:textId="77777777" w:rsidR="00EF07F5" w:rsidRDefault="00EF07F5" w:rsidP="3C049DC4">
      <w:pPr>
        <w:pStyle w:val="Default"/>
        <w:numPr>
          <w:ilvl w:val="0"/>
          <w:numId w:val="13"/>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Gender reassignment</w:t>
      </w:r>
    </w:p>
    <w:p w14:paraId="3B4CDD04" w14:textId="77777777" w:rsidR="00EF07F5" w:rsidRDefault="00EF07F5" w:rsidP="3C049DC4">
      <w:pPr>
        <w:pStyle w:val="Default"/>
        <w:numPr>
          <w:ilvl w:val="0"/>
          <w:numId w:val="13"/>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Race</w:t>
      </w:r>
    </w:p>
    <w:p w14:paraId="0EC7B9BF" w14:textId="77777777" w:rsidR="00EF07F5" w:rsidRDefault="00EF07F5" w:rsidP="3C049DC4">
      <w:pPr>
        <w:pStyle w:val="Default"/>
        <w:numPr>
          <w:ilvl w:val="0"/>
          <w:numId w:val="13"/>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Religion or belief</w:t>
      </w:r>
    </w:p>
    <w:p w14:paraId="1F2D9F51" w14:textId="77777777" w:rsidR="00EF07F5" w:rsidRDefault="00EF07F5" w:rsidP="3C049DC4">
      <w:pPr>
        <w:pStyle w:val="Default"/>
        <w:numPr>
          <w:ilvl w:val="0"/>
          <w:numId w:val="13"/>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Sexual orientation</w:t>
      </w:r>
    </w:p>
    <w:p w14:paraId="3445B27B" w14:textId="77777777" w:rsidR="00EF07F5" w:rsidRDefault="00EF07F5" w:rsidP="3C049DC4">
      <w:pPr>
        <w:pStyle w:val="Default"/>
        <w:numPr>
          <w:ilvl w:val="0"/>
          <w:numId w:val="13"/>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Marriage or civil partnership</w:t>
      </w:r>
    </w:p>
    <w:p w14:paraId="70DCDA2B" w14:textId="77777777" w:rsidR="00EF07F5" w:rsidRDefault="00EF07F5" w:rsidP="3C049DC4">
      <w:pPr>
        <w:pStyle w:val="Default"/>
        <w:numPr>
          <w:ilvl w:val="0"/>
          <w:numId w:val="13"/>
        </w:numPr>
        <w:spacing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Pregnancy and maternity </w:t>
      </w:r>
    </w:p>
    <w:p w14:paraId="63AA9A61"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22F177B2" w14:textId="7F95ED23"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3.5 </w:t>
      </w:r>
      <w:r>
        <w:tab/>
      </w:r>
      <w:r w:rsidR="00C2D231"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offers a broad range of programmes to a varied student population. This policy determines the principles of </w:t>
      </w:r>
      <w:r w:rsidR="29DEE993"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admissions and enrolment systems. The arrangements for admissions to programmes may vary, dependent upon the programme, experience, programme requirements and funding available. </w:t>
      </w:r>
    </w:p>
    <w:p w14:paraId="2489B631"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521F3710" w14:textId="50A7C3C5"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3.6</w:t>
      </w:r>
      <w:r>
        <w:tab/>
      </w:r>
      <w:r w:rsidR="66B848CB"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ensures all promotional materials are accurate, relevant, current, and accessible in order to provide information that will enable prospective students to make informed decisions about their options. On occasion, it is necessary to amend programme titles, content or entry criteria after the details have been published and in these circumstances </w:t>
      </w:r>
      <w:r w:rsidR="129AF79F"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will take reasonable steps to ensure the changes are communicated to relevant stakeholders.</w:t>
      </w:r>
    </w:p>
    <w:p w14:paraId="129042AC"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435A7C81" w14:textId="7B2B8131"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3.7</w:t>
      </w:r>
      <w:r>
        <w:tab/>
      </w:r>
      <w:r w:rsidRPr="3C049DC4">
        <w:rPr>
          <w:rFonts w:ascii="Century Gothic" w:eastAsia="Century Gothic" w:hAnsi="Century Gothic" w:cs="Century Gothic"/>
          <w:color w:val="1F3864" w:themeColor="accent5" w:themeShade="80"/>
          <w:sz w:val="22"/>
          <w:szCs w:val="22"/>
        </w:rPr>
        <w:t xml:space="preserve">All courses have a comprehensive programme profile on </w:t>
      </w:r>
      <w:r w:rsidR="4AD2FBA6"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’s website, and where applicable a UCAS Entry Profile, detailing the qualifications, subject knowledge, qualities and skills required for the course along with the details of any non-academic (pre-enrolment) requirements such as the Disclosure and Barring Service (DBS) checks</w:t>
      </w:r>
    </w:p>
    <w:p w14:paraId="0167274D"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rPr>
      </w:pPr>
    </w:p>
    <w:p w14:paraId="6D5B5E8E" w14:textId="368BA2BF"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3.8 </w:t>
      </w:r>
      <w:r>
        <w:tab/>
      </w:r>
      <w:r w:rsidRPr="3C049DC4">
        <w:rPr>
          <w:rFonts w:ascii="Century Gothic" w:eastAsia="Century Gothic" w:hAnsi="Century Gothic" w:cs="Century Gothic"/>
          <w:color w:val="1F3864" w:themeColor="accent5" w:themeShade="80"/>
          <w:sz w:val="22"/>
          <w:szCs w:val="22"/>
        </w:rPr>
        <w:t xml:space="preserve">Applicants may access information about their programmes directly from </w:t>
      </w:r>
      <w:r w:rsidR="06B0B714" w:rsidRPr="3C049DC4">
        <w:rPr>
          <w:rFonts w:ascii="Century Gothic" w:eastAsia="Century Gothic" w:hAnsi="Century Gothic" w:cs="Century Gothic"/>
          <w:color w:val="1F3864" w:themeColor="accent5" w:themeShade="80"/>
          <w:sz w:val="22"/>
          <w:szCs w:val="22"/>
        </w:rPr>
        <w:t>the DCG</w:t>
      </w:r>
      <w:r w:rsidRPr="3C049DC4">
        <w:rPr>
          <w:rFonts w:ascii="Century Gothic" w:eastAsia="Century Gothic" w:hAnsi="Century Gothic" w:cs="Century Gothic"/>
          <w:color w:val="1F3864" w:themeColor="accent5" w:themeShade="80"/>
          <w:sz w:val="22"/>
          <w:szCs w:val="22"/>
        </w:rPr>
        <w:t xml:space="preserve"> website and/or request information, advice and guidance to help them decide on the programme of study best suited to their needs. Applicants may also contact the Admission Tutors for an informal discussion. Services available to applicants include an impartial, confidential IAG appointment with Inclusion and Support advice.</w:t>
      </w:r>
    </w:p>
    <w:p w14:paraId="65476685"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7F34E822" w14:textId="129E2036" w:rsidR="00EF07F5" w:rsidRPr="00AF4D1F"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3.9</w:t>
      </w:r>
      <w:r>
        <w:tab/>
      </w:r>
      <w:r w:rsidRPr="3C049DC4">
        <w:rPr>
          <w:rFonts w:ascii="Century Gothic" w:eastAsia="Century Gothic" w:hAnsi="Century Gothic" w:cs="Century Gothic"/>
          <w:color w:val="1F3864" w:themeColor="accent5" w:themeShade="80"/>
          <w:sz w:val="22"/>
          <w:szCs w:val="22"/>
        </w:rPr>
        <w:t xml:space="preserve">For full-time programmes, applicants can access information from UCAS. Additional information can be accessed via Key Information Sets (KIS), where available, from the UNISTATS web site </w:t>
      </w:r>
      <w:r w:rsidRPr="3C049DC4">
        <w:rPr>
          <w:rFonts w:ascii="Century Gothic" w:eastAsia="Century Gothic" w:hAnsi="Century Gothic" w:cs="Century Gothic"/>
          <w:color w:val="1F3864" w:themeColor="accent5" w:themeShade="80"/>
        </w:rPr>
        <w:t>www.discoveruni.gov.uk</w:t>
      </w:r>
      <w:r w:rsidRPr="3C049DC4">
        <w:rPr>
          <w:rFonts w:ascii="Century Gothic" w:eastAsia="Century Gothic" w:hAnsi="Century Gothic" w:cs="Century Gothic"/>
          <w:color w:val="1F3864" w:themeColor="accent5" w:themeShade="80"/>
          <w:sz w:val="22"/>
          <w:szCs w:val="22"/>
        </w:rPr>
        <w:t xml:space="preserve"> or from </w:t>
      </w:r>
      <w:r w:rsidR="1245AFFB" w:rsidRPr="3C049DC4">
        <w:rPr>
          <w:rFonts w:ascii="Century Gothic" w:eastAsia="Century Gothic" w:hAnsi="Century Gothic" w:cs="Century Gothic"/>
          <w:color w:val="1F3864" w:themeColor="accent5" w:themeShade="80"/>
          <w:sz w:val="22"/>
          <w:szCs w:val="22"/>
        </w:rPr>
        <w:t>the DCG</w:t>
      </w:r>
      <w:r w:rsidRPr="3C049DC4">
        <w:rPr>
          <w:rFonts w:ascii="Century Gothic" w:eastAsia="Century Gothic" w:hAnsi="Century Gothic" w:cs="Century Gothic"/>
          <w:color w:val="1F3864" w:themeColor="accent5" w:themeShade="80"/>
          <w:sz w:val="22"/>
          <w:szCs w:val="22"/>
        </w:rPr>
        <w:t xml:space="preserve"> website.</w:t>
      </w:r>
    </w:p>
    <w:p w14:paraId="2BBA6F2B"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2A478031" w14:textId="04BF59AE"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3.10 </w:t>
      </w:r>
      <w:r>
        <w:tab/>
      </w:r>
      <w:r w:rsidRPr="3C049DC4">
        <w:rPr>
          <w:rFonts w:ascii="Century Gothic" w:eastAsia="Century Gothic" w:hAnsi="Century Gothic" w:cs="Century Gothic"/>
          <w:color w:val="1F3864" w:themeColor="accent5" w:themeShade="80"/>
          <w:sz w:val="22"/>
          <w:szCs w:val="22"/>
        </w:rPr>
        <w:t xml:space="preserve">Applications to </w:t>
      </w:r>
      <w:r w:rsidR="0C25DEEE"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will be processed in a timely manner on receipt.</w:t>
      </w:r>
    </w:p>
    <w:p w14:paraId="140D9ACA"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68F7F9B1" w14:textId="4CF74F73"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3.11</w:t>
      </w:r>
      <w:r>
        <w:tab/>
      </w:r>
      <w:r w:rsidRPr="3C049DC4">
        <w:rPr>
          <w:rFonts w:ascii="Century Gothic" w:eastAsia="Century Gothic" w:hAnsi="Century Gothic" w:cs="Century Gothic"/>
          <w:color w:val="1F3864" w:themeColor="accent5" w:themeShade="80"/>
          <w:sz w:val="22"/>
          <w:szCs w:val="22"/>
        </w:rPr>
        <w:t xml:space="preserve">Applicants are asked to declare any long-term health condition or inclusion need. All applications are reviewed for academic suitability first and foremost. If an applicant is suitable for an offer their support needs will be assessed in relation to their disability/learning difference and the requirements of the programme/profession the applicant is applying for. </w:t>
      </w:r>
      <w:r w:rsidR="7E5A0559"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is committed to equal opportunities and this policy aims to ensure that individuals with disabilities and learning differences receive fair treatment, in accordance with the Equality Act 2010.</w:t>
      </w:r>
    </w:p>
    <w:p w14:paraId="0C32F1FE"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197A45F6"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lastRenderedPageBreak/>
        <w:t>3.12</w:t>
      </w:r>
      <w:r>
        <w:tab/>
      </w:r>
      <w:r w:rsidRPr="3C049DC4">
        <w:rPr>
          <w:rFonts w:ascii="Century Gothic" w:eastAsia="Century Gothic" w:hAnsi="Century Gothic" w:cs="Century Gothic"/>
          <w:color w:val="1F3864" w:themeColor="accent5" w:themeShade="80"/>
          <w:sz w:val="22"/>
          <w:szCs w:val="22"/>
        </w:rPr>
        <w:t xml:space="preserve">All applicants are entitled to receive a clear indication, prior to enrolment, of all likely expenses associated with their chosen programme of study (costs may be subject to change). </w:t>
      </w:r>
    </w:p>
    <w:p w14:paraId="02DABA0C"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1C20235F" w14:textId="2B8B35F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3.13 </w:t>
      </w:r>
      <w:r>
        <w:tab/>
      </w:r>
      <w:r w:rsidRPr="3C049DC4">
        <w:rPr>
          <w:rFonts w:ascii="Century Gothic" w:eastAsia="Century Gothic" w:hAnsi="Century Gothic" w:cs="Century Gothic"/>
          <w:color w:val="1F3864" w:themeColor="accent5" w:themeShade="80"/>
          <w:sz w:val="22"/>
          <w:szCs w:val="22"/>
        </w:rPr>
        <w:t xml:space="preserve">All applicants should be informed of </w:t>
      </w:r>
      <w:r w:rsidR="7B45592D"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admissions entry criteria required for their programme of study. Entry criteria for programme is reviewed annually to keep in line with the academic demand of the programme and any internal or external regulatory requirements e.g. for accreditation, subject to approval by the awarding organisation. Entry criteria considerations form part of the programme validation process at </w:t>
      </w:r>
      <w:r w:rsidR="05B1E219"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also, but as criteria is reviewed annually this does not necessarily entail re-validation of a programme.</w:t>
      </w:r>
    </w:p>
    <w:p w14:paraId="17F9B228"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61346D50" w14:textId="6B3CFEB0"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3.14</w:t>
      </w:r>
      <w:r>
        <w:tab/>
      </w:r>
      <w:r w:rsidR="359005AC"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welcomes applications from appropriately qualified applicants offering a wide range of qualifications. Specific details can be found on individual programme pages on </w:t>
      </w:r>
      <w:r w:rsidR="2E9A2F51" w:rsidRPr="3C049DC4">
        <w:rPr>
          <w:rFonts w:ascii="Century Gothic" w:eastAsia="Century Gothic" w:hAnsi="Century Gothic" w:cs="Century Gothic"/>
          <w:color w:val="1F3864" w:themeColor="accent5" w:themeShade="80"/>
          <w:sz w:val="22"/>
          <w:szCs w:val="22"/>
        </w:rPr>
        <w:t>the DCG</w:t>
      </w:r>
      <w:r w:rsidRPr="3C049DC4">
        <w:rPr>
          <w:rFonts w:ascii="Century Gothic" w:eastAsia="Century Gothic" w:hAnsi="Century Gothic" w:cs="Century Gothic"/>
          <w:color w:val="1F3864" w:themeColor="accent5" w:themeShade="80"/>
          <w:sz w:val="22"/>
          <w:szCs w:val="22"/>
        </w:rPr>
        <w:t xml:space="preserve"> website. International and European qualifications will be considered and evaluated by referring to independently published guides recognised within the United Kingdom higher education sector such as UK NARIC. </w:t>
      </w:r>
    </w:p>
    <w:p w14:paraId="33528C86"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00E5D131" w14:textId="655A5AE6"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3.15 </w:t>
      </w:r>
      <w:r>
        <w:tab/>
      </w:r>
      <w:r w:rsidR="5D99DE2F"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reserves the right not to enrol an applicant who has outstanding debts with </w:t>
      </w:r>
      <w:r w:rsidR="23489F1B"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When identified, the Finance Team will be notified by a member of the Admissions Team to liaise with the applicant. </w:t>
      </w:r>
    </w:p>
    <w:p w14:paraId="0B96F67B"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397A9092" w14:textId="3D602CC1"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3.16</w:t>
      </w:r>
      <w:r>
        <w:tab/>
      </w:r>
      <w:r w:rsidR="703093B2"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reserves the right to refuse admission to an applicant who has previously been excluded from this or any other educational institution. Persons previously excluded will be interviewed by the appropriate Team Manager prior to their re-entry. </w:t>
      </w:r>
      <w:r w:rsidR="4BF1CBAC"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will only refuse admission if they feel that they are unable to provide a satisfactory risk assessment and/or if it is felt that the student has made no progress from the previous exclusion.</w:t>
      </w:r>
    </w:p>
    <w:p w14:paraId="2E0905BF"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2B2E444F" w14:textId="0A31624A"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3.17</w:t>
      </w:r>
      <w:r>
        <w:tab/>
      </w:r>
      <w:r w:rsidR="04B8A31B"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recognises it has a duty of care to students, staff and visitors and therefore reserves the right not to admit an applicant where there is evidence that they could pose a risk to themselves or others, which cannot be managed through a risk management plan.</w:t>
      </w:r>
    </w:p>
    <w:p w14:paraId="28FF4EF6"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6584F90C" w14:textId="1A75FB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3.18</w:t>
      </w:r>
      <w:r>
        <w:rPr>
          <w:sz w:val="22"/>
          <w:szCs w:val="22"/>
        </w:rPr>
        <w:tab/>
      </w:r>
      <w:r w:rsidRPr="3C049DC4">
        <w:rPr>
          <w:rFonts w:ascii="Century Gothic" w:eastAsia="Century Gothic" w:hAnsi="Century Gothic" w:cs="Century Gothic"/>
          <w:color w:val="1F3864" w:themeColor="accent5" w:themeShade="80"/>
          <w:sz w:val="22"/>
          <w:szCs w:val="22"/>
        </w:rPr>
        <w:t xml:space="preserve">All data submitted to </w:t>
      </w:r>
      <w:r w:rsidR="75FE0409"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during the admissions process is used to assess the suitability of an applicant for study at </w:t>
      </w:r>
      <w:r w:rsidR="4C5855D3"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Data may also be used by </w:t>
      </w:r>
      <w:r w:rsidR="28C706FD"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t>
      </w:r>
      <w:r w:rsidRPr="3C049DC4">
        <w:rPr>
          <w:rFonts w:ascii="Century Gothic" w:eastAsia="Century Gothic" w:hAnsi="Century Gothic" w:cs="Century Gothic"/>
          <w:color w:val="1F3864" w:themeColor="accent5" w:themeShade="80"/>
          <w:sz w:val="22"/>
          <w:szCs w:val="22"/>
        </w:rPr>
        <w:lastRenderedPageBreak/>
        <w:t xml:space="preserve">for statistical and reporting purposes. The application data forms part of a student’s record when they are admitted to </w:t>
      </w:r>
      <w:r w:rsidR="50FB2409"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and where relevant, partner universities. Personal data of applicants who are not admitted to </w:t>
      </w:r>
      <w:r w:rsidR="6A5891C6"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are archived and normally removed </w:t>
      </w:r>
      <w:r w:rsidRPr="3C049DC4">
        <w:rPr>
          <w:rFonts w:ascii="Century Gothic" w:eastAsia="Century Gothic" w:hAnsi="Century Gothic" w:cs="Century Gothic"/>
          <w:color w:val="1F3864" w:themeColor="accent5" w:themeShade="80"/>
          <w:sz w:val="22"/>
          <w:szCs w:val="22"/>
          <w:shd w:val="clear" w:color="auto" w:fill="FFFFFF"/>
        </w:rPr>
        <w:t xml:space="preserve">after one academic year. </w:t>
      </w:r>
      <w:r w:rsidR="1D5B0F41"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complies with the General Data Protection Regulation 2018 in its use of applicant data. Further information about Data Protection at </w:t>
      </w:r>
      <w:r w:rsidR="4D2D79AC"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can be found on our website, </w:t>
      </w:r>
      <w:hyperlink r:id="rId12" w:history="1">
        <w:r w:rsidRPr="3C049DC4">
          <w:rPr>
            <w:rStyle w:val="Hyperlink"/>
            <w:rFonts w:ascii="Century Gothic" w:eastAsia="Century Gothic" w:hAnsi="Century Gothic" w:cs="Century Gothic"/>
            <w:color w:val="1F3864" w:themeColor="accent5" w:themeShade="80"/>
          </w:rPr>
          <w:t>https://www.derby-college.ac.uk/gdpr</w:t>
        </w:r>
      </w:hyperlink>
      <w:r w:rsidRPr="3C049DC4">
        <w:rPr>
          <w:rFonts w:ascii="Century Gothic" w:eastAsia="Century Gothic" w:hAnsi="Century Gothic" w:cs="Century Gothic"/>
          <w:color w:val="1F3864" w:themeColor="accent5" w:themeShade="80"/>
          <w:sz w:val="22"/>
          <w:szCs w:val="22"/>
        </w:rPr>
        <w:t xml:space="preserve">. </w:t>
      </w:r>
    </w:p>
    <w:p w14:paraId="39533EB7" w14:textId="686529B1" w:rsidR="00EF07F5" w:rsidRDefault="00EF07F5" w:rsidP="3C049DC4">
      <w:pPr>
        <w:pStyle w:val="ListParagraph"/>
        <w:numPr>
          <w:ilvl w:val="0"/>
          <w:numId w:val="10"/>
        </w:numPr>
        <w:spacing w:before="240" w:after="240" w:line="360" w:lineRule="auto"/>
        <w:ind w:left="709" w:hanging="695"/>
        <w:rPr>
          <w:rFonts w:ascii="Century Gothic" w:eastAsia="Century Gothic" w:hAnsi="Century Gothic" w:cs="Century Gothic"/>
          <w:b/>
          <w:bCs/>
          <w:color w:val="1F3864" w:themeColor="accent5" w:themeShade="80"/>
          <w:sz w:val="28"/>
          <w:szCs w:val="28"/>
        </w:rPr>
      </w:pPr>
      <w:r w:rsidRPr="3C049DC4">
        <w:rPr>
          <w:rFonts w:ascii="Century Gothic" w:eastAsia="Century Gothic" w:hAnsi="Century Gothic" w:cs="Century Gothic"/>
          <w:b/>
          <w:bCs/>
          <w:color w:val="1F3864" w:themeColor="accent5" w:themeShade="80"/>
          <w:sz w:val="28"/>
          <w:szCs w:val="28"/>
        </w:rPr>
        <w:t>S</w:t>
      </w:r>
      <w:r w:rsidR="4722293B" w:rsidRPr="3C049DC4">
        <w:rPr>
          <w:rFonts w:ascii="Century Gothic" w:eastAsia="Century Gothic" w:hAnsi="Century Gothic" w:cs="Century Gothic"/>
          <w:b/>
          <w:bCs/>
          <w:color w:val="1F3864" w:themeColor="accent5" w:themeShade="80"/>
          <w:sz w:val="28"/>
          <w:szCs w:val="28"/>
        </w:rPr>
        <w:t>cope</w:t>
      </w:r>
      <w:r w:rsidRPr="3C049DC4">
        <w:rPr>
          <w:rFonts w:ascii="Century Gothic" w:eastAsia="Century Gothic" w:hAnsi="Century Gothic" w:cs="Century Gothic"/>
          <w:b/>
          <w:bCs/>
          <w:color w:val="1F3864" w:themeColor="accent5" w:themeShade="80"/>
          <w:sz w:val="28"/>
          <w:szCs w:val="28"/>
        </w:rPr>
        <w:t xml:space="preserve"> </w:t>
      </w:r>
      <w:r w:rsidR="636EDB5B" w:rsidRPr="3C049DC4">
        <w:rPr>
          <w:rFonts w:ascii="Century Gothic" w:eastAsia="Century Gothic" w:hAnsi="Century Gothic" w:cs="Century Gothic"/>
          <w:b/>
          <w:bCs/>
          <w:color w:val="1F3864" w:themeColor="accent5" w:themeShade="80"/>
          <w:sz w:val="28"/>
          <w:szCs w:val="28"/>
        </w:rPr>
        <w:t>and</w:t>
      </w:r>
      <w:r w:rsidRPr="3C049DC4">
        <w:rPr>
          <w:rFonts w:ascii="Century Gothic" w:eastAsia="Century Gothic" w:hAnsi="Century Gothic" w:cs="Century Gothic"/>
          <w:b/>
          <w:bCs/>
          <w:color w:val="1F3864" w:themeColor="accent5" w:themeShade="80"/>
          <w:sz w:val="28"/>
          <w:szCs w:val="28"/>
        </w:rPr>
        <w:t xml:space="preserve"> L</w:t>
      </w:r>
      <w:r w:rsidR="228E7F81" w:rsidRPr="3C049DC4">
        <w:rPr>
          <w:rFonts w:ascii="Century Gothic" w:eastAsia="Century Gothic" w:hAnsi="Century Gothic" w:cs="Century Gothic"/>
          <w:b/>
          <w:bCs/>
          <w:color w:val="1F3864" w:themeColor="accent5" w:themeShade="80"/>
          <w:sz w:val="28"/>
          <w:szCs w:val="28"/>
        </w:rPr>
        <w:t>imitations</w:t>
      </w:r>
    </w:p>
    <w:p w14:paraId="4999C7E6" w14:textId="77777777" w:rsidR="00EF07F5" w:rsidRDefault="00EF07F5" w:rsidP="3C049DC4">
      <w:pPr>
        <w:pStyle w:val="ListParagraph"/>
        <w:spacing w:before="240" w:after="240" w:line="360" w:lineRule="auto"/>
        <w:ind w:left="709"/>
        <w:rPr>
          <w:rFonts w:ascii="Century Gothic" w:eastAsia="Century Gothic" w:hAnsi="Century Gothic" w:cs="Century Gothic"/>
          <w:color w:val="1F3864" w:themeColor="accent5" w:themeShade="80"/>
        </w:rPr>
      </w:pPr>
    </w:p>
    <w:p w14:paraId="7E3541BC" w14:textId="454C16B3" w:rsidR="00EF07F5" w:rsidRDefault="4E9C607B" w:rsidP="3C049DC4">
      <w:pPr>
        <w:spacing w:before="240" w:after="240" w:line="360" w:lineRule="auto"/>
        <w:rPr>
          <w:rFonts w:ascii="Century Gothic" w:eastAsia="Century Gothic" w:hAnsi="Century Gothic" w:cs="Century Gothic"/>
          <w:b/>
          <w:bCs/>
          <w:color w:val="1F3864" w:themeColor="accent5" w:themeShade="80"/>
        </w:rPr>
      </w:pPr>
      <w:r w:rsidRPr="19175A7C">
        <w:rPr>
          <w:rFonts w:ascii="Century Gothic" w:eastAsia="Century Gothic" w:hAnsi="Century Gothic" w:cs="Century Gothic"/>
          <w:color w:val="1F3864" w:themeColor="accent5" w:themeShade="80"/>
        </w:rPr>
        <w:t>4.1.</w:t>
      </w:r>
      <w:r>
        <w:tab/>
      </w:r>
      <w:r w:rsidR="00EF07F5" w:rsidRPr="19175A7C">
        <w:rPr>
          <w:rFonts w:ascii="Century Gothic" w:eastAsia="Century Gothic" w:hAnsi="Century Gothic" w:cs="Century Gothic"/>
          <w:color w:val="1F3864" w:themeColor="accent5" w:themeShade="80"/>
        </w:rPr>
        <w:t xml:space="preserve">This policy is applicable to all Higher Education programmes that are not subject to an Admissions policy set by an awarding organisation/institution, </w:t>
      </w:r>
      <w:r w:rsidR="00EF07F5" w:rsidRPr="19175A7C">
        <w:rPr>
          <w:rFonts w:ascii="Century Gothic" w:eastAsia="Century Gothic" w:hAnsi="Century Gothic" w:cs="Century Gothic"/>
          <w:i/>
          <w:iCs/>
          <w:color w:val="1F3864" w:themeColor="accent5" w:themeShade="80"/>
        </w:rPr>
        <w:t>although final</w:t>
      </w:r>
      <w:r w:rsidR="40A4E2FE" w:rsidRPr="19175A7C">
        <w:rPr>
          <w:rFonts w:ascii="Century Gothic" w:eastAsia="Century Gothic" w:hAnsi="Century Gothic" w:cs="Century Gothic"/>
          <w:i/>
          <w:iCs/>
          <w:color w:val="1F3864" w:themeColor="accent5" w:themeShade="80"/>
        </w:rPr>
        <w:t xml:space="preserve"> </w:t>
      </w:r>
      <w:r w:rsidR="00EF07F5" w:rsidRPr="19175A7C">
        <w:rPr>
          <w:rFonts w:ascii="Century Gothic" w:eastAsia="Century Gothic" w:hAnsi="Century Gothic" w:cs="Century Gothic"/>
          <w:i/>
          <w:iCs/>
          <w:color w:val="1F3864" w:themeColor="accent5" w:themeShade="80"/>
        </w:rPr>
        <w:t>approval of admissions may be the responsibility of the awarding</w:t>
      </w:r>
      <w:r w:rsidR="49383BB6" w:rsidRPr="19175A7C">
        <w:rPr>
          <w:rFonts w:ascii="Century Gothic" w:eastAsia="Century Gothic" w:hAnsi="Century Gothic" w:cs="Century Gothic"/>
          <w:i/>
          <w:iCs/>
          <w:color w:val="1F3864" w:themeColor="accent5" w:themeShade="80"/>
        </w:rPr>
        <w:t xml:space="preserve"> </w:t>
      </w:r>
      <w:r w:rsidR="00EF07F5" w:rsidRPr="19175A7C">
        <w:rPr>
          <w:rFonts w:ascii="Century Gothic" w:eastAsia="Century Gothic" w:hAnsi="Century Gothic" w:cs="Century Gothic"/>
          <w:i/>
          <w:iCs/>
          <w:color w:val="1F3864" w:themeColor="accent5" w:themeShade="80"/>
        </w:rPr>
        <w:t>organisation/institution</w:t>
      </w:r>
      <w:r w:rsidR="00EF07F5" w:rsidRPr="19175A7C">
        <w:rPr>
          <w:rFonts w:ascii="Century Gothic" w:eastAsia="Century Gothic" w:hAnsi="Century Gothic" w:cs="Century Gothic"/>
          <w:color w:val="1F3864" w:themeColor="accent5" w:themeShade="80"/>
        </w:rPr>
        <w:t xml:space="preserve">. </w:t>
      </w:r>
    </w:p>
    <w:p w14:paraId="4C621BB5" w14:textId="0ADB7D42" w:rsidR="00EF07F5" w:rsidRDefault="00EF07F5" w:rsidP="3C049DC4">
      <w:pPr>
        <w:spacing w:before="240" w:after="240" w:line="360" w:lineRule="auto"/>
        <w:rPr>
          <w:rFonts w:ascii="Century Gothic" w:eastAsia="Century Gothic" w:hAnsi="Century Gothic" w:cs="Century Gothic"/>
          <w:b/>
          <w:bCs/>
          <w:color w:val="1F3864" w:themeColor="accent5" w:themeShade="80"/>
        </w:rPr>
      </w:pPr>
      <w:r w:rsidRPr="3C049DC4">
        <w:rPr>
          <w:rFonts w:ascii="Century Gothic" w:eastAsia="Century Gothic" w:hAnsi="Century Gothic" w:cs="Century Gothic"/>
          <w:color w:val="1F3864" w:themeColor="accent5" w:themeShade="80"/>
        </w:rPr>
        <w:t>This applies to:</w:t>
      </w:r>
    </w:p>
    <w:p w14:paraId="6ACDCD3C"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Higher National programmes</w:t>
      </w:r>
    </w:p>
    <w:p w14:paraId="744778DF"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Honours degrees</w:t>
      </w:r>
    </w:p>
    <w:p w14:paraId="74F4E970"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Degrees (non honours)</w:t>
      </w:r>
    </w:p>
    <w:p w14:paraId="72AC5336"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Foundation degrees</w:t>
      </w:r>
    </w:p>
    <w:p w14:paraId="5801439D"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3"/>
          <w:szCs w:val="23"/>
        </w:rPr>
      </w:pPr>
      <w:r w:rsidRPr="3C049DC4">
        <w:rPr>
          <w:rFonts w:ascii="Century Gothic" w:eastAsia="Century Gothic" w:hAnsi="Century Gothic" w:cs="Century Gothic"/>
          <w:color w:val="1F3864" w:themeColor="accent5" w:themeShade="80"/>
          <w:sz w:val="22"/>
          <w:szCs w:val="22"/>
        </w:rPr>
        <w:t>Short course at HE Level</w:t>
      </w:r>
      <w:r w:rsidRPr="3C049DC4">
        <w:rPr>
          <w:rFonts w:ascii="Century Gothic" w:eastAsia="Century Gothic" w:hAnsi="Century Gothic" w:cs="Century Gothic"/>
          <w:color w:val="1F3864" w:themeColor="accent5" w:themeShade="80"/>
          <w:sz w:val="23"/>
          <w:szCs w:val="23"/>
        </w:rPr>
        <w:t>s 4 to 7</w:t>
      </w:r>
    </w:p>
    <w:p w14:paraId="438BC7C2" w14:textId="7A2A7482"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3"/>
          <w:szCs w:val="23"/>
        </w:rPr>
        <w:t xml:space="preserve">Higher Education Apprenticeships </w:t>
      </w:r>
      <w:r w:rsidRPr="00774420">
        <w:rPr>
          <w:rFonts w:ascii="Century Gothic" w:eastAsia="Century Gothic" w:hAnsi="Century Gothic" w:cs="Century Gothic"/>
          <w:color w:val="1F3864" w:themeColor="accent5" w:themeShade="80"/>
          <w:sz w:val="23"/>
          <w:szCs w:val="23"/>
        </w:rPr>
        <w:t xml:space="preserve">(see section </w:t>
      </w:r>
      <w:r w:rsidR="00774420" w:rsidRPr="00774420">
        <w:rPr>
          <w:rFonts w:ascii="Century Gothic" w:eastAsia="Century Gothic" w:hAnsi="Century Gothic" w:cs="Century Gothic"/>
          <w:color w:val="1F3864" w:themeColor="accent5" w:themeShade="80"/>
          <w:sz w:val="23"/>
          <w:szCs w:val="23"/>
        </w:rPr>
        <w:t>7)</w:t>
      </w:r>
    </w:p>
    <w:p w14:paraId="647B42A1" w14:textId="77777777" w:rsidR="00EF07F5" w:rsidRDefault="00EF07F5" w:rsidP="3C049DC4">
      <w:pPr>
        <w:spacing w:line="360" w:lineRule="auto"/>
        <w:rPr>
          <w:rFonts w:ascii="Century Gothic" w:eastAsia="Century Gothic" w:hAnsi="Century Gothic" w:cs="Century Gothic"/>
          <w:color w:val="1F3864" w:themeColor="accent5" w:themeShade="80"/>
        </w:rPr>
      </w:pPr>
    </w:p>
    <w:p w14:paraId="67B7FC91" w14:textId="6193B412" w:rsidR="00EF07F5" w:rsidRDefault="3A2DC236" w:rsidP="000933FF">
      <w:pPr>
        <w:pStyle w:val="Default"/>
        <w:spacing w:line="360" w:lineRule="auto"/>
        <w:ind w:left="72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4.2.</w:t>
      </w:r>
      <w:r>
        <w:tab/>
      </w:r>
      <w:r w:rsidR="00EF07F5" w:rsidRPr="3C049DC4">
        <w:rPr>
          <w:rFonts w:ascii="Century Gothic" w:eastAsia="Century Gothic" w:hAnsi="Century Gothic" w:cs="Century Gothic"/>
          <w:color w:val="1F3864" w:themeColor="accent5" w:themeShade="80"/>
          <w:sz w:val="22"/>
          <w:szCs w:val="22"/>
        </w:rPr>
        <w:t xml:space="preserve">This policy has been developed to ensure that </w:t>
      </w:r>
      <w:r w:rsidR="3FE2782F"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 xml:space="preserve"> practices a clear, fair, explicit and consistent admissions procedure and has been guided by the </w:t>
      </w:r>
      <w:r w:rsidR="000933FF">
        <w:rPr>
          <w:rFonts w:ascii="Century Gothic" w:eastAsia="Century Gothic" w:hAnsi="Century Gothic" w:cs="Century Gothic"/>
          <w:color w:val="1F3864" w:themeColor="accent5" w:themeShade="80"/>
          <w:sz w:val="22"/>
          <w:szCs w:val="22"/>
        </w:rPr>
        <w:t>Office for Students (OfS)</w:t>
      </w:r>
      <w:r w:rsidR="00774420">
        <w:rPr>
          <w:rFonts w:ascii="Century Gothic" w:eastAsia="Century Gothic" w:hAnsi="Century Gothic" w:cs="Century Gothic"/>
          <w:color w:val="1F3864" w:themeColor="accent5" w:themeShade="80"/>
          <w:sz w:val="22"/>
          <w:szCs w:val="22"/>
        </w:rPr>
        <w:t xml:space="preserve"> and</w:t>
      </w:r>
      <w:r w:rsidR="000933FF" w:rsidRPr="00774420">
        <w:rPr>
          <w:rFonts w:ascii="Century Gothic" w:eastAsia="Century Gothic" w:hAnsi="Century Gothic" w:cs="Century Gothic"/>
          <w:color w:val="1F3864" w:themeColor="accent5" w:themeShade="80"/>
          <w:sz w:val="22"/>
          <w:szCs w:val="22"/>
        </w:rPr>
        <w:t xml:space="preserve"> </w:t>
      </w:r>
      <w:r w:rsidR="00EF07F5" w:rsidRPr="00774420">
        <w:rPr>
          <w:rFonts w:ascii="Century Gothic" w:eastAsia="Century Gothic" w:hAnsi="Century Gothic" w:cs="Century Gothic"/>
          <w:color w:val="1F3864" w:themeColor="accent5" w:themeShade="80"/>
          <w:sz w:val="22"/>
          <w:szCs w:val="22"/>
        </w:rPr>
        <w:t>UK Quality Code, A</w:t>
      </w:r>
      <w:r w:rsidR="00EF07F5" w:rsidRPr="00774420">
        <w:rPr>
          <w:rFonts w:ascii="Century Gothic" w:eastAsia="Century Gothic" w:hAnsi="Century Gothic" w:cs="Century Gothic"/>
          <w:i/>
          <w:iCs/>
          <w:color w:val="1F3864" w:themeColor="accent5" w:themeShade="80"/>
          <w:sz w:val="22"/>
          <w:szCs w:val="22"/>
        </w:rPr>
        <w:t xml:space="preserve">dmissions, Recruitment and Widening Access </w:t>
      </w:r>
      <w:r w:rsidR="00EF07F5" w:rsidRPr="000933FF">
        <w:rPr>
          <w:rFonts w:ascii="Century Gothic" w:eastAsia="Century Gothic" w:hAnsi="Century Gothic" w:cs="Century Gothic"/>
          <w:color w:val="1F3864" w:themeColor="accent5" w:themeShade="80"/>
          <w:sz w:val="22"/>
          <w:szCs w:val="22"/>
        </w:rPr>
        <w:t>and meet the</w:t>
      </w:r>
      <w:r w:rsidR="00EF07F5" w:rsidRPr="3C049DC4">
        <w:rPr>
          <w:rFonts w:ascii="Century Gothic" w:eastAsia="Century Gothic" w:hAnsi="Century Gothic" w:cs="Century Gothic"/>
          <w:color w:val="1F3864" w:themeColor="accent5" w:themeShade="80"/>
          <w:sz w:val="22"/>
          <w:szCs w:val="22"/>
        </w:rPr>
        <w:t xml:space="preserve"> following Core Practice:</w:t>
      </w:r>
    </w:p>
    <w:p w14:paraId="18613DF7" w14:textId="77777777" w:rsidR="00EF07F5" w:rsidRDefault="00EF07F5" w:rsidP="3C049DC4">
      <w:pPr>
        <w:spacing w:line="360" w:lineRule="auto"/>
        <w:ind w:left="737" w:hanging="737"/>
        <w:rPr>
          <w:rFonts w:ascii="Century Gothic" w:eastAsia="Century Gothic" w:hAnsi="Century Gothic" w:cs="Century Gothic"/>
          <w:color w:val="1F3864" w:themeColor="accent5" w:themeShade="80"/>
        </w:rPr>
      </w:pPr>
    </w:p>
    <w:p w14:paraId="6592E6CC" w14:textId="77777777" w:rsidR="00EF07F5" w:rsidRDefault="00EF07F5" w:rsidP="3C049DC4">
      <w:pPr>
        <w:pStyle w:val="Default"/>
        <w:spacing w:after="113"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w:t>
      </w:r>
      <w:r>
        <w:tab/>
      </w:r>
      <w:r w:rsidRPr="3C049DC4">
        <w:rPr>
          <w:rFonts w:ascii="Century Gothic" w:eastAsia="Century Gothic" w:hAnsi="Century Gothic" w:cs="Century Gothic"/>
          <w:i/>
          <w:iCs/>
          <w:color w:val="1F3864" w:themeColor="accent5" w:themeShade="80"/>
          <w:sz w:val="22"/>
          <w:szCs w:val="22"/>
        </w:rPr>
        <w:t>The provider ensures that students who are awarded qualifications have the opportunity to achieve standards beyond the threshold level that are reasonably comparable with those achieved in other UK providers.</w:t>
      </w:r>
    </w:p>
    <w:p w14:paraId="4FAD178B" w14:textId="77777777" w:rsidR="00EF07F5" w:rsidRDefault="00EF07F5" w:rsidP="3C049DC4">
      <w:pPr>
        <w:pStyle w:val="Default"/>
        <w:spacing w:after="113"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(b)</w:t>
      </w:r>
      <w:r>
        <w:tab/>
      </w:r>
      <w:r w:rsidRPr="3C049DC4">
        <w:rPr>
          <w:rFonts w:ascii="Century Gothic" w:eastAsia="Century Gothic" w:hAnsi="Century Gothic" w:cs="Century Gothic"/>
          <w:i/>
          <w:iCs/>
          <w:color w:val="1F3864" w:themeColor="accent5" w:themeShade="80"/>
          <w:sz w:val="22"/>
          <w:szCs w:val="22"/>
        </w:rPr>
        <w:t>The provider has a reliable, fair and inclusive admissions system.</w:t>
      </w:r>
    </w:p>
    <w:p w14:paraId="3E6D1DDE" w14:textId="77777777" w:rsidR="00EF07F5" w:rsidRDefault="00EF07F5" w:rsidP="3C049DC4">
      <w:pPr>
        <w:pStyle w:val="Default"/>
        <w:spacing w:after="57"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(c)</w:t>
      </w:r>
      <w:r>
        <w:tab/>
      </w:r>
      <w:r w:rsidRPr="3C049DC4">
        <w:rPr>
          <w:rFonts w:ascii="Century Gothic" w:eastAsia="Century Gothic" w:hAnsi="Century Gothic" w:cs="Century Gothic"/>
          <w:i/>
          <w:iCs/>
          <w:color w:val="1F3864" w:themeColor="accent5" w:themeShade="80"/>
          <w:sz w:val="22"/>
          <w:szCs w:val="22"/>
        </w:rPr>
        <w:t>The provider actively engages students, individually and collectively, in the quality of their educational experience.</w:t>
      </w:r>
    </w:p>
    <w:p w14:paraId="7B1F967A" w14:textId="77777777" w:rsidR="00EF07F5" w:rsidRDefault="00EF07F5" w:rsidP="3C049DC4">
      <w:pPr>
        <w:pStyle w:val="Default"/>
        <w:spacing w:line="360" w:lineRule="auto"/>
        <w:ind w:left="1247" w:right="340" w:hanging="510"/>
        <w:rPr>
          <w:rFonts w:ascii="Century Gothic" w:eastAsia="Century Gothic" w:hAnsi="Century Gothic" w:cs="Century Gothic"/>
          <w:i/>
          <w:iCs/>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(d)</w:t>
      </w:r>
      <w:r>
        <w:tab/>
      </w:r>
      <w:r w:rsidRPr="3C049DC4">
        <w:rPr>
          <w:rFonts w:ascii="Century Gothic" w:eastAsia="Century Gothic" w:hAnsi="Century Gothic" w:cs="Century Gothic"/>
          <w:i/>
          <w:iCs/>
          <w:color w:val="1F3864" w:themeColor="accent5" w:themeShade="80"/>
          <w:sz w:val="22"/>
          <w:szCs w:val="22"/>
        </w:rPr>
        <w:t xml:space="preserve">The provider has fair and transparent procedures for handling </w:t>
      </w:r>
      <w:r w:rsidRPr="3C049DC4">
        <w:rPr>
          <w:rFonts w:ascii="Century Gothic" w:eastAsia="Century Gothic" w:hAnsi="Century Gothic" w:cs="Century Gothic"/>
          <w:i/>
          <w:iCs/>
          <w:color w:val="1F3864" w:themeColor="accent5" w:themeShade="80"/>
          <w:sz w:val="22"/>
          <w:szCs w:val="22"/>
        </w:rPr>
        <w:lastRenderedPageBreak/>
        <w:t>complaints and appeals which are accessible to all students.</w:t>
      </w:r>
    </w:p>
    <w:p w14:paraId="05DCB571" w14:textId="77777777" w:rsidR="00EF07F5" w:rsidRDefault="00EF07F5" w:rsidP="3C049DC4">
      <w:pPr>
        <w:pStyle w:val="Default"/>
        <w:spacing w:line="360" w:lineRule="auto"/>
        <w:ind w:left="1247" w:right="340" w:hanging="510"/>
        <w:rPr>
          <w:rFonts w:ascii="Century Gothic" w:eastAsia="Century Gothic" w:hAnsi="Century Gothic" w:cs="Century Gothic"/>
          <w:color w:val="1F3864" w:themeColor="accent5" w:themeShade="80"/>
          <w:sz w:val="22"/>
          <w:szCs w:val="22"/>
        </w:rPr>
      </w:pPr>
      <w:r>
        <w:rPr>
          <w:i/>
          <w:sz w:val="22"/>
          <w:szCs w:val="22"/>
        </w:rPr>
        <w:tab/>
      </w:r>
      <w:r w:rsidRPr="3C049DC4">
        <w:rPr>
          <w:rFonts w:ascii="Century Gothic" w:eastAsia="Century Gothic" w:hAnsi="Century Gothic" w:cs="Century Gothic"/>
          <w:i/>
          <w:iCs/>
          <w:color w:val="1F3864" w:themeColor="accent5" w:themeShade="80"/>
          <w:sz w:val="22"/>
          <w:szCs w:val="22"/>
        </w:rPr>
        <w:t xml:space="preserve"> </w:t>
      </w:r>
    </w:p>
    <w:p w14:paraId="7F2971E9" w14:textId="344085F0" w:rsidR="00EF07F5" w:rsidRDefault="64D6E8E4" w:rsidP="3C049DC4">
      <w:pPr>
        <w:pStyle w:val="Default"/>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4.3.</w:t>
      </w:r>
      <w:r>
        <w:tab/>
      </w:r>
      <w:r w:rsidR="00EF07F5" w:rsidRPr="3C049DC4">
        <w:rPr>
          <w:rFonts w:ascii="Century Gothic" w:eastAsia="Century Gothic" w:hAnsi="Century Gothic" w:cs="Century Gothic"/>
          <w:color w:val="1F3864" w:themeColor="accent5" w:themeShade="80"/>
          <w:sz w:val="22"/>
          <w:szCs w:val="22"/>
        </w:rPr>
        <w:t xml:space="preserve">The admission of students into higher education programmes at </w:t>
      </w:r>
      <w:r w:rsidR="49CF66FB"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 xml:space="preserve"> will typically include the following activities:</w:t>
      </w:r>
    </w:p>
    <w:p w14:paraId="7403EAE2"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5556C807"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promotion and marketing of courses to prospective students, their parents, employers and advisers;</w:t>
      </w:r>
    </w:p>
    <w:p w14:paraId="7D448BFB" w14:textId="42DA062B"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identification and recruitment of prospective students to </w:t>
      </w:r>
      <w:r w:rsidR="57C417B3"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and specific programmes of study through, for example, open days; recruitment fairs; seminars, etc;</w:t>
      </w:r>
    </w:p>
    <w:p w14:paraId="49BB1B69"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selection of applicants suitable for a particular programme;</w:t>
      </w:r>
    </w:p>
    <w:p w14:paraId="2A177578"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assessment of suitability based on academic grounds, intentions of study, and fit with career aspirations;</w:t>
      </w:r>
    </w:p>
    <w:p w14:paraId="61024CC4"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make reasonable adjustments for students with inclusion needs;</w:t>
      </w:r>
    </w:p>
    <w:p w14:paraId="3047E2AE" w14:textId="77777777"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conditional offer of a place on a programme of study;</w:t>
      </w:r>
    </w:p>
    <w:p w14:paraId="50D00121" w14:textId="77777777" w:rsidR="00EF07F5" w:rsidRDefault="00EF07F5" w:rsidP="3C049DC4">
      <w:pPr>
        <w:pStyle w:val="Default"/>
        <w:numPr>
          <w:ilvl w:val="0"/>
          <w:numId w:val="14"/>
        </w:numPr>
        <w:spacing w:after="43"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enrolment of students onto a programme of study (unconditional offer);</w:t>
      </w:r>
    </w:p>
    <w:p w14:paraId="56C8399C" w14:textId="2F4FE4EA" w:rsidR="00EF07F5" w:rsidRDefault="00EF07F5" w:rsidP="3C049DC4">
      <w:pPr>
        <w:pStyle w:val="Default"/>
        <w:numPr>
          <w:ilvl w:val="0"/>
          <w:numId w:val="14"/>
        </w:numPr>
        <w:spacing w:after="57"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induction and orientation of new students to </w:t>
      </w:r>
      <w:r w:rsidR="176C7E02"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department and programme of study;</w:t>
      </w:r>
    </w:p>
    <w:p w14:paraId="5A5701B8" w14:textId="77777777" w:rsidR="00EF07F5" w:rsidRDefault="00EF07F5" w:rsidP="3C049DC4">
      <w:pPr>
        <w:pStyle w:val="Default"/>
        <w:numPr>
          <w:ilvl w:val="0"/>
          <w:numId w:val="14"/>
        </w:numPr>
        <w:spacing w:line="360" w:lineRule="auto"/>
        <w:ind w:left="1134" w:right="340" w:hanging="397"/>
        <w:rPr>
          <w:rFonts w:ascii="Century Gothic" w:eastAsia="Century Gothic" w:hAnsi="Century Gothic" w:cs="Century Gothic"/>
          <w:b/>
          <w:bCs/>
          <w:color w:val="1F3864" w:themeColor="accent5" w:themeShade="80"/>
        </w:rPr>
      </w:pPr>
      <w:r w:rsidRPr="3C049DC4">
        <w:rPr>
          <w:rFonts w:ascii="Century Gothic" w:eastAsia="Century Gothic" w:hAnsi="Century Gothic" w:cs="Century Gothic"/>
          <w:color w:val="1F3864" w:themeColor="accent5" w:themeShade="80"/>
          <w:sz w:val="22"/>
          <w:szCs w:val="22"/>
        </w:rPr>
        <w:t>promote retention, student success and equality of opportunity.</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F07F5" w:rsidRPr="00D812BA" w14:paraId="617DD529" w14:textId="77777777" w:rsidTr="3C049DC4">
        <w:tc>
          <w:tcPr>
            <w:tcW w:w="9072" w:type="dxa"/>
          </w:tcPr>
          <w:p w14:paraId="56E9C6D6" w14:textId="77777777" w:rsidR="00EF07F5" w:rsidRPr="00D812BA" w:rsidRDefault="00EF07F5" w:rsidP="3C049DC4">
            <w:pPr>
              <w:pStyle w:val="NoSpacing"/>
              <w:spacing w:line="360" w:lineRule="auto"/>
              <w:rPr>
                <w:rFonts w:ascii="Century Gothic" w:eastAsia="Century Gothic" w:hAnsi="Century Gothic" w:cs="Century Gothic"/>
                <w:color w:val="1F3864" w:themeColor="accent5" w:themeShade="80"/>
              </w:rPr>
            </w:pPr>
          </w:p>
        </w:tc>
      </w:tr>
    </w:tbl>
    <w:p w14:paraId="3367626F" w14:textId="54AEE323" w:rsidR="00EF07F5" w:rsidRPr="00D812BA" w:rsidRDefault="7CEC6C33" w:rsidP="3C049DC4">
      <w:pPr>
        <w:pStyle w:val="ListParagraph"/>
        <w:numPr>
          <w:ilvl w:val="0"/>
          <w:numId w:val="10"/>
        </w:numPr>
        <w:spacing w:before="240" w:after="240" w:line="360" w:lineRule="auto"/>
        <w:ind w:left="709" w:hanging="695"/>
        <w:rPr>
          <w:rFonts w:ascii="Century Gothic" w:eastAsia="Century Gothic" w:hAnsi="Century Gothic" w:cs="Century Gothic"/>
          <w:b/>
          <w:bCs/>
          <w:color w:val="1F3864" w:themeColor="accent5" w:themeShade="80"/>
          <w:sz w:val="28"/>
          <w:szCs w:val="28"/>
        </w:rPr>
      </w:pPr>
      <w:r w:rsidRPr="3C049DC4">
        <w:rPr>
          <w:rFonts w:ascii="Century Gothic" w:eastAsia="Century Gothic" w:hAnsi="Century Gothic" w:cs="Century Gothic"/>
          <w:b/>
          <w:bCs/>
          <w:color w:val="1F3864" w:themeColor="accent5" w:themeShade="80"/>
          <w:sz w:val="28"/>
          <w:szCs w:val="28"/>
        </w:rPr>
        <w:t>Responsibilities</w:t>
      </w:r>
    </w:p>
    <w:p w14:paraId="2037FC51"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The Deputy Chief Executive Office (Deputy CEO) has the executive responsibility and strategic oversight of the Admissions Policy.</w:t>
      </w:r>
    </w:p>
    <w:p w14:paraId="1ED7678D" w14:textId="61A0848E" w:rsidR="00EF07F5" w:rsidRDefault="51367437"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The Director of </w:t>
      </w:r>
      <w:r w:rsidR="4A849375" w:rsidRPr="3C049DC4">
        <w:rPr>
          <w:rFonts w:ascii="Century Gothic" w:eastAsia="Century Gothic" w:hAnsi="Century Gothic" w:cs="Century Gothic"/>
          <w:color w:val="1F3864" w:themeColor="accent5" w:themeShade="80"/>
          <w:sz w:val="22"/>
          <w:szCs w:val="22"/>
        </w:rPr>
        <w:t>Marketing and Communications</w:t>
      </w:r>
      <w:r w:rsidRPr="3C049DC4">
        <w:rPr>
          <w:rFonts w:ascii="Century Gothic" w:eastAsia="Century Gothic" w:hAnsi="Century Gothic" w:cs="Century Gothic"/>
          <w:color w:val="1F3864" w:themeColor="accent5" w:themeShade="80"/>
          <w:sz w:val="22"/>
          <w:szCs w:val="22"/>
        </w:rPr>
        <w:t xml:space="preserve"> is responsible for the effective development, implementation and review of the policy and procedures. </w:t>
      </w:r>
    </w:p>
    <w:p w14:paraId="48AC4192" w14:textId="2389747C" w:rsidR="00EF07F5" w:rsidRDefault="51367437"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The Student Services team are responsible for the </w:t>
      </w:r>
      <w:r w:rsidR="4C4AEA37" w:rsidRPr="3C049DC4">
        <w:rPr>
          <w:rFonts w:ascii="Century Gothic" w:eastAsia="Century Gothic" w:hAnsi="Century Gothic" w:cs="Century Gothic"/>
          <w:color w:val="1F3864" w:themeColor="accent5" w:themeShade="80"/>
          <w:sz w:val="22"/>
          <w:szCs w:val="22"/>
        </w:rPr>
        <w:t>day-to-day</w:t>
      </w:r>
      <w:r w:rsidRPr="3C049DC4">
        <w:rPr>
          <w:rFonts w:ascii="Century Gothic" w:eastAsia="Century Gothic" w:hAnsi="Century Gothic" w:cs="Century Gothic"/>
          <w:color w:val="1F3864" w:themeColor="accent5" w:themeShade="80"/>
          <w:sz w:val="22"/>
          <w:szCs w:val="22"/>
        </w:rPr>
        <w:t xml:space="preserve"> administration and implementation of the procedures described in this document.</w:t>
      </w:r>
    </w:p>
    <w:p w14:paraId="135C6478" w14:textId="61C3BC6C" w:rsidR="00EF07F5" w:rsidRPr="0044758F" w:rsidRDefault="51367437"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The Senior Leadership Team, Head of HE</w:t>
      </w:r>
      <w:r w:rsidR="2E8C621E" w:rsidRPr="3C049DC4">
        <w:rPr>
          <w:rFonts w:ascii="Century Gothic" w:eastAsia="Century Gothic" w:hAnsi="Century Gothic" w:cs="Century Gothic"/>
          <w:color w:val="1F3864" w:themeColor="accent5" w:themeShade="80"/>
          <w:sz w:val="22"/>
          <w:szCs w:val="22"/>
        </w:rPr>
        <w:t xml:space="preserve"> Quality Assurance</w:t>
      </w:r>
      <w:r w:rsidRPr="3C049DC4">
        <w:rPr>
          <w:rFonts w:ascii="Century Gothic" w:eastAsia="Century Gothic" w:hAnsi="Century Gothic" w:cs="Century Gothic"/>
          <w:color w:val="1F3864" w:themeColor="accent5" w:themeShade="80"/>
          <w:sz w:val="22"/>
          <w:szCs w:val="22"/>
        </w:rPr>
        <w:t xml:space="preserve">, College </w:t>
      </w:r>
      <w:r w:rsidR="70D8ABF8" w:rsidRPr="3C049DC4">
        <w:rPr>
          <w:rFonts w:ascii="Century Gothic" w:eastAsia="Century Gothic" w:hAnsi="Century Gothic" w:cs="Century Gothic"/>
          <w:color w:val="1F3864" w:themeColor="accent5" w:themeShade="80"/>
          <w:sz w:val="22"/>
          <w:szCs w:val="22"/>
        </w:rPr>
        <w:t>Assistant Principals</w:t>
      </w:r>
      <w:r w:rsidRPr="3C049DC4">
        <w:rPr>
          <w:rFonts w:ascii="Century Gothic" w:eastAsia="Century Gothic" w:hAnsi="Century Gothic" w:cs="Century Gothic"/>
          <w:color w:val="1F3864" w:themeColor="accent5" w:themeShade="80"/>
          <w:sz w:val="22"/>
          <w:szCs w:val="22"/>
        </w:rPr>
        <w:t xml:space="preserve"> and </w:t>
      </w:r>
      <w:r w:rsidR="30500984" w:rsidRPr="3C049DC4">
        <w:rPr>
          <w:rFonts w:ascii="Century Gothic" w:eastAsia="Century Gothic" w:hAnsi="Century Gothic" w:cs="Century Gothic"/>
          <w:color w:val="1F3864" w:themeColor="accent5" w:themeShade="80"/>
          <w:sz w:val="22"/>
          <w:szCs w:val="22"/>
        </w:rPr>
        <w:t xml:space="preserve">Curriculum </w:t>
      </w:r>
      <w:r w:rsidRPr="3C049DC4">
        <w:rPr>
          <w:rFonts w:ascii="Century Gothic" w:eastAsia="Century Gothic" w:hAnsi="Century Gothic" w:cs="Century Gothic"/>
          <w:color w:val="1F3864" w:themeColor="accent5" w:themeShade="80"/>
          <w:sz w:val="22"/>
          <w:szCs w:val="22"/>
        </w:rPr>
        <w:t>Managers all have a responsibility to give full and active support to the policy by ensuring the policy is known, understood and implemented.</w:t>
      </w:r>
    </w:p>
    <w:p w14:paraId="002A5D10" w14:textId="77777777" w:rsidR="00EF07F5" w:rsidRPr="00B9090C" w:rsidRDefault="00EF07F5" w:rsidP="3C049DC4">
      <w:pPr>
        <w:pStyle w:val="ListParagraph"/>
        <w:numPr>
          <w:ilvl w:val="1"/>
          <w:numId w:val="10"/>
        </w:numPr>
        <w:spacing w:before="240" w:after="240" w:line="360" w:lineRule="auto"/>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The arrangements that outlined below build on previous good practice and seek to provide additional impetus and coherence.</w:t>
      </w:r>
    </w:p>
    <w:p w14:paraId="7440EA61" w14:textId="77777777" w:rsidR="00EF07F5" w:rsidRPr="00B9090C" w:rsidRDefault="00EF07F5" w:rsidP="3C049DC4">
      <w:pPr>
        <w:pStyle w:val="ListParagraph"/>
        <w:spacing w:before="240" w:after="240" w:line="360" w:lineRule="auto"/>
        <w:ind w:left="574"/>
        <w:rPr>
          <w:rFonts w:ascii="Century Gothic" w:eastAsia="Century Gothic" w:hAnsi="Century Gothic" w:cs="Century Gothic"/>
          <w:color w:val="1F3864" w:themeColor="accent5" w:themeShade="80"/>
        </w:rPr>
      </w:pPr>
    </w:p>
    <w:p w14:paraId="796C7496" w14:textId="19665388" w:rsidR="00EF07F5" w:rsidRPr="00A12CD3" w:rsidRDefault="21F96930" w:rsidP="000933FF">
      <w:pPr>
        <w:spacing w:before="240" w:after="240" w:line="360" w:lineRule="auto"/>
        <w:ind w:firstLine="574"/>
        <w:rPr>
          <w:rFonts w:ascii="Century Gothic" w:eastAsia="Century Gothic" w:hAnsi="Century Gothic" w:cs="Century Gothic"/>
          <w:b/>
          <w:bCs/>
          <w:color w:val="1F3864" w:themeColor="accent5" w:themeShade="80"/>
        </w:rPr>
      </w:pPr>
      <w:r w:rsidRPr="3C049DC4">
        <w:rPr>
          <w:rFonts w:ascii="Century Gothic" w:eastAsia="Century Gothic" w:hAnsi="Century Gothic" w:cs="Century Gothic"/>
          <w:color w:val="1F3864" w:themeColor="accent5" w:themeShade="80"/>
        </w:rPr>
        <w:lastRenderedPageBreak/>
        <w:t xml:space="preserve">5.6. </w:t>
      </w:r>
      <w:r w:rsidR="51367437" w:rsidRPr="3C049DC4">
        <w:rPr>
          <w:rFonts w:ascii="Century Gothic" w:eastAsia="Century Gothic" w:hAnsi="Century Gothic" w:cs="Century Gothic"/>
          <w:b/>
          <w:bCs/>
          <w:color w:val="1F3864" w:themeColor="accent5" w:themeShade="80"/>
        </w:rPr>
        <w:t>The Admissions Leadership Group</w:t>
      </w:r>
      <w:r w:rsidR="51367437" w:rsidRPr="3C049DC4">
        <w:rPr>
          <w:rFonts w:ascii="Century Gothic" w:eastAsia="Century Gothic" w:hAnsi="Century Gothic" w:cs="Century Gothic"/>
          <w:color w:val="1F3864" w:themeColor="accent5" w:themeShade="80"/>
        </w:rPr>
        <w:t xml:space="preserve"> – chaired by the </w:t>
      </w:r>
      <w:r w:rsidR="2A952745" w:rsidRPr="3C049DC4">
        <w:rPr>
          <w:rFonts w:ascii="Century Gothic" w:eastAsia="Century Gothic" w:hAnsi="Century Gothic" w:cs="Century Gothic"/>
          <w:color w:val="1F3864" w:themeColor="accent5" w:themeShade="80"/>
        </w:rPr>
        <w:t>Director of Marketing and Communications</w:t>
      </w:r>
      <w:r w:rsidR="51367437" w:rsidRPr="3C049DC4">
        <w:rPr>
          <w:rFonts w:ascii="Century Gothic" w:eastAsia="Century Gothic" w:hAnsi="Century Gothic" w:cs="Century Gothic"/>
          <w:color w:val="1F3864" w:themeColor="accent5" w:themeShade="80"/>
        </w:rPr>
        <w:t xml:space="preserve">. This group will lead on the strategic direction and </w:t>
      </w:r>
      <w:r w:rsidR="000933FF">
        <w:rPr>
          <w:rFonts w:ascii="Century Gothic" w:eastAsia="Century Gothic" w:hAnsi="Century Gothic" w:cs="Century Gothic"/>
          <w:color w:val="1F3864" w:themeColor="accent5" w:themeShade="80"/>
        </w:rPr>
        <w:t>d</w:t>
      </w:r>
      <w:r w:rsidR="51367437" w:rsidRPr="3C049DC4">
        <w:rPr>
          <w:rFonts w:ascii="Century Gothic" w:eastAsia="Century Gothic" w:hAnsi="Century Gothic" w:cs="Century Gothic"/>
          <w:color w:val="1F3864" w:themeColor="accent5" w:themeShade="80"/>
        </w:rPr>
        <w:t>evelopment of the admissions</w:t>
      </w:r>
      <w:r w:rsidR="6000C406" w:rsidRPr="3C049DC4">
        <w:rPr>
          <w:rFonts w:ascii="Century Gothic" w:eastAsia="Century Gothic" w:hAnsi="Century Gothic" w:cs="Century Gothic"/>
          <w:color w:val="1F3864" w:themeColor="accent5" w:themeShade="80"/>
        </w:rPr>
        <w:t xml:space="preserve"> </w:t>
      </w:r>
      <w:r w:rsidR="51367437" w:rsidRPr="3C049DC4">
        <w:rPr>
          <w:rFonts w:ascii="Century Gothic" w:eastAsia="Century Gothic" w:hAnsi="Century Gothic" w:cs="Century Gothic"/>
          <w:color w:val="1F3864" w:themeColor="accent5" w:themeShade="80"/>
        </w:rPr>
        <w:t>process. Group membership will consist of the Senior Leadership Team, Assistant Principals and support managers.</w:t>
      </w:r>
    </w:p>
    <w:p w14:paraId="2E8E963B" w14:textId="63E87431" w:rsidR="00EF07F5" w:rsidRPr="0044758F" w:rsidRDefault="51367437"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The Admissions Leadership Group along with the HE </w:t>
      </w:r>
      <w:r w:rsidR="59415882" w:rsidRPr="3C049DC4">
        <w:rPr>
          <w:rFonts w:ascii="Century Gothic" w:eastAsia="Century Gothic" w:hAnsi="Century Gothic" w:cs="Century Gothic"/>
          <w:color w:val="1F3864" w:themeColor="accent5" w:themeShade="80"/>
          <w:sz w:val="22"/>
          <w:szCs w:val="22"/>
        </w:rPr>
        <w:t xml:space="preserve">SLT </w:t>
      </w:r>
      <w:r w:rsidRPr="3C049DC4">
        <w:rPr>
          <w:rFonts w:ascii="Century Gothic" w:eastAsia="Century Gothic" w:hAnsi="Century Gothic" w:cs="Century Gothic"/>
          <w:color w:val="1F3864" w:themeColor="accent5" w:themeShade="80"/>
          <w:sz w:val="22"/>
          <w:szCs w:val="22"/>
        </w:rPr>
        <w:t xml:space="preserve">Academic Board will maintain oversight of the effectiveness of these arrangements. This policy and the implementation arrangements which underpin it will be reviewed annually by the Deputy CEO and the Director of </w:t>
      </w:r>
      <w:r w:rsidR="3CA838E0" w:rsidRPr="3C049DC4">
        <w:rPr>
          <w:rFonts w:ascii="Century Gothic" w:eastAsia="Century Gothic" w:hAnsi="Century Gothic" w:cs="Century Gothic"/>
          <w:color w:val="1F3864" w:themeColor="accent5" w:themeShade="80"/>
          <w:sz w:val="22"/>
          <w:szCs w:val="22"/>
        </w:rPr>
        <w:t>Marketing and Communications</w:t>
      </w:r>
      <w:r w:rsidRPr="3C049DC4">
        <w:rPr>
          <w:rFonts w:ascii="Century Gothic" w:eastAsia="Century Gothic" w:hAnsi="Century Gothic" w:cs="Century Gothic"/>
          <w:color w:val="1F3864" w:themeColor="accent5" w:themeShade="80"/>
          <w:sz w:val="22"/>
          <w:szCs w:val="22"/>
        </w:rPr>
        <w:t>.</w:t>
      </w:r>
    </w:p>
    <w:p w14:paraId="2F262935" w14:textId="77777777" w:rsidR="00EF07F5" w:rsidRDefault="00EF07F5" w:rsidP="3C049DC4">
      <w:pPr>
        <w:pStyle w:val="Default"/>
        <w:spacing w:line="360" w:lineRule="auto"/>
        <w:ind w:left="574"/>
        <w:rPr>
          <w:rFonts w:ascii="Century Gothic" w:eastAsia="Century Gothic" w:hAnsi="Century Gothic" w:cs="Century Gothic"/>
          <w:color w:val="1F3864" w:themeColor="accent5" w:themeShade="80"/>
        </w:rPr>
      </w:pPr>
    </w:p>
    <w:p w14:paraId="6607A394"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The policy is reviewed in light of its operation in the current cycle (including applied learning from complaints or issues which may have arisen), any new or upcoming Professional, Statutory and Regulatory Body (PSRB) requirements or good practice statements by bodies such as the OfS and QAA.</w:t>
      </w:r>
    </w:p>
    <w:p w14:paraId="4E1B4FFD"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08D873FB"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This policy is operational for a full academic cycle starting in the September of each year.</w:t>
      </w:r>
    </w:p>
    <w:p w14:paraId="72E61A34"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00883BAC" w14:textId="7972882F" w:rsidR="00EF07F5" w:rsidRPr="00A72CD1" w:rsidRDefault="00EF07F5" w:rsidP="3C049DC4">
      <w:pPr>
        <w:pStyle w:val="Default"/>
        <w:numPr>
          <w:ilvl w:val="1"/>
          <w:numId w:val="10"/>
        </w:numPr>
        <w:spacing w:line="360" w:lineRule="auto"/>
        <w:rPr>
          <w:rFonts w:ascii="Century Gothic" w:eastAsia="Century Gothic" w:hAnsi="Century Gothic" w:cs="Century Gothic"/>
          <w:b/>
          <w:bCs/>
          <w:color w:val="1F3864" w:themeColor="accent5" w:themeShade="80"/>
        </w:rPr>
      </w:pPr>
      <w:r w:rsidRPr="3C049DC4">
        <w:rPr>
          <w:rFonts w:ascii="Century Gothic" w:eastAsia="Century Gothic" w:hAnsi="Century Gothic" w:cs="Century Gothic"/>
          <w:color w:val="1F3864" w:themeColor="accent5" w:themeShade="80"/>
          <w:sz w:val="22"/>
          <w:szCs w:val="22"/>
        </w:rPr>
        <w:t xml:space="preserve">Individual exceptions to this policy can only be authorised by the Head of Higher Education. Such exceptions will not be regarded as setting a precedent but should be reviewed on an annual basis when the policy is being updated. Any individual exceptions that are made will be captured and clearly communicated to the degree awarding power. </w:t>
      </w:r>
    </w:p>
    <w:tbl>
      <w:tblPr>
        <w:tblStyle w:val="TableGrid"/>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F07F5" w:rsidRPr="00D812BA" w14:paraId="04AF44B8" w14:textId="77777777" w:rsidTr="3C049DC4">
        <w:tc>
          <w:tcPr>
            <w:tcW w:w="9071" w:type="dxa"/>
          </w:tcPr>
          <w:p w14:paraId="339560CC" w14:textId="77777777" w:rsidR="00EF07F5" w:rsidRPr="00D812BA" w:rsidRDefault="00EF07F5" w:rsidP="3C049DC4">
            <w:pPr>
              <w:pStyle w:val="NoSpacing"/>
              <w:spacing w:line="360" w:lineRule="auto"/>
              <w:jc w:val="both"/>
              <w:rPr>
                <w:rFonts w:ascii="Century Gothic" w:eastAsia="Century Gothic" w:hAnsi="Century Gothic" w:cs="Century Gothic"/>
                <w:color w:val="1F3864" w:themeColor="accent5" w:themeShade="80"/>
              </w:rPr>
            </w:pPr>
          </w:p>
        </w:tc>
      </w:tr>
    </w:tbl>
    <w:p w14:paraId="3F66BAA0" w14:textId="0A364A3E" w:rsidR="00EF07F5" w:rsidRPr="00B9090C" w:rsidRDefault="00EF07F5" w:rsidP="3C049DC4">
      <w:pPr>
        <w:pStyle w:val="ListParagraph"/>
        <w:numPr>
          <w:ilvl w:val="0"/>
          <w:numId w:val="10"/>
        </w:numPr>
        <w:spacing w:before="240" w:after="240" w:line="360" w:lineRule="auto"/>
        <w:ind w:left="709" w:hanging="695"/>
        <w:rPr>
          <w:rFonts w:ascii="Century Gothic" w:eastAsia="Century Gothic" w:hAnsi="Century Gothic" w:cs="Century Gothic"/>
          <w:b/>
          <w:bCs/>
          <w:color w:val="1F3864" w:themeColor="accent5" w:themeShade="80"/>
          <w:sz w:val="28"/>
          <w:szCs w:val="28"/>
        </w:rPr>
      </w:pPr>
      <w:r w:rsidRPr="3C049DC4">
        <w:rPr>
          <w:rFonts w:ascii="Century Gothic" w:eastAsia="Century Gothic" w:hAnsi="Century Gothic" w:cs="Century Gothic"/>
          <w:b/>
          <w:bCs/>
          <w:color w:val="1F3864" w:themeColor="accent5" w:themeShade="80"/>
          <w:sz w:val="28"/>
          <w:szCs w:val="28"/>
        </w:rPr>
        <w:t>G</w:t>
      </w:r>
      <w:r w:rsidR="007EA6D0" w:rsidRPr="3C049DC4">
        <w:rPr>
          <w:rFonts w:ascii="Century Gothic" w:eastAsia="Century Gothic" w:hAnsi="Century Gothic" w:cs="Century Gothic"/>
          <w:b/>
          <w:bCs/>
          <w:color w:val="1F3864" w:themeColor="accent5" w:themeShade="80"/>
          <w:sz w:val="28"/>
          <w:szCs w:val="28"/>
        </w:rPr>
        <w:t>uidelines</w:t>
      </w:r>
    </w:p>
    <w:p w14:paraId="50F0BEDA" w14:textId="4240E932" w:rsidR="6FBFE6EA" w:rsidRDefault="6FBFE6EA" w:rsidP="19175A7C">
      <w:pPr>
        <w:pStyle w:val="Default"/>
        <w:spacing w:line="360" w:lineRule="auto"/>
        <w:rPr>
          <w:rFonts w:ascii="Century Gothic" w:eastAsia="Century Gothic" w:hAnsi="Century Gothic" w:cs="Century Gothic"/>
          <w:color w:val="1F3864" w:themeColor="accent5" w:themeShade="80"/>
          <w:sz w:val="22"/>
          <w:szCs w:val="22"/>
        </w:rPr>
      </w:pPr>
      <w:hyperlink r:id="rId13">
        <w:r w:rsidRPr="19175A7C">
          <w:rPr>
            <w:rStyle w:val="Hyperlink"/>
            <w:rFonts w:ascii="Century Gothic" w:eastAsia="Century Gothic" w:hAnsi="Century Gothic" w:cs="Century Gothic"/>
            <w:color w:val="0070C0"/>
            <w:sz w:val="22"/>
            <w:szCs w:val="22"/>
          </w:rPr>
          <w:t>Admissions Guidance Notes for Higher Education</w:t>
        </w:r>
      </w:hyperlink>
    </w:p>
    <w:p w14:paraId="036B835B" w14:textId="058197C7" w:rsidR="24EC3C61" w:rsidRDefault="24EC3C61" w:rsidP="3C049DC4">
      <w:pPr>
        <w:spacing w:before="240" w:after="240" w:line="360" w:lineRule="auto"/>
        <w:rPr>
          <w:rFonts w:ascii="Century Gothic" w:eastAsia="Century Gothic" w:hAnsi="Century Gothic" w:cs="Century Gothic"/>
          <w:color w:val="1F3864" w:themeColor="accent5" w:themeShade="80"/>
          <w:sz w:val="20"/>
        </w:rPr>
      </w:pPr>
    </w:p>
    <w:p w14:paraId="63125AF3" w14:textId="4DC525BB" w:rsidR="00EF07F5" w:rsidRDefault="00EF07F5" w:rsidP="3C049DC4">
      <w:pPr>
        <w:pStyle w:val="ListParagraph"/>
        <w:numPr>
          <w:ilvl w:val="0"/>
          <w:numId w:val="10"/>
        </w:numPr>
        <w:spacing w:before="240" w:after="240" w:line="360" w:lineRule="auto"/>
        <w:ind w:left="709" w:hanging="695"/>
        <w:rPr>
          <w:rFonts w:ascii="Century Gothic" w:eastAsia="Century Gothic" w:hAnsi="Century Gothic" w:cs="Century Gothic"/>
          <w:b/>
          <w:bCs/>
          <w:color w:val="1F3864" w:themeColor="accent5" w:themeShade="80"/>
          <w:sz w:val="28"/>
          <w:szCs w:val="28"/>
        </w:rPr>
      </w:pPr>
      <w:r w:rsidRPr="3C049DC4">
        <w:rPr>
          <w:rFonts w:ascii="Century Gothic" w:eastAsia="Century Gothic" w:hAnsi="Century Gothic" w:cs="Century Gothic"/>
          <w:b/>
          <w:bCs/>
          <w:color w:val="1F3864" w:themeColor="accent5" w:themeShade="80"/>
          <w:sz w:val="28"/>
          <w:szCs w:val="28"/>
        </w:rPr>
        <w:t>P</w:t>
      </w:r>
      <w:r w:rsidR="0C3800DE" w:rsidRPr="3C049DC4">
        <w:rPr>
          <w:rFonts w:ascii="Century Gothic" w:eastAsia="Century Gothic" w:hAnsi="Century Gothic" w:cs="Century Gothic"/>
          <w:b/>
          <w:bCs/>
          <w:color w:val="1F3864" w:themeColor="accent5" w:themeShade="80"/>
          <w:sz w:val="28"/>
          <w:szCs w:val="28"/>
        </w:rPr>
        <w:t>rocedures</w:t>
      </w:r>
    </w:p>
    <w:p w14:paraId="5DEDBC7C" w14:textId="4E4BB9FA" w:rsidR="00EF07F5" w:rsidRDefault="42452CBB" w:rsidP="19175A7C">
      <w:pPr>
        <w:pStyle w:val="Default"/>
        <w:spacing w:line="360" w:lineRule="auto"/>
        <w:rPr>
          <w:rFonts w:ascii="Century Gothic" w:eastAsia="Century Gothic" w:hAnsi="Century Gothic" w:cs="Century Gothic"/>
          <w:color w:val="1F3864" w:themeColor="accent5" w:themeShade="80"/>
          <w:sz w:val="22"/>
          <w:szCs w:val="22"/>
        </w:rPr>
      </w:pPr>
      <w:hyperlink r:id="rId14">
        <w:r w:rsidRPr="19175A7C">
          <w:rPr>
            <w:rStyle w:val="Hyperlink"/>
            <w:rFonts w:ascii="Century Gothic" w:eastAsia="Century Gothic" w:hAnsi="Century Gothic" w:cs="Century Gothic"/>
            <w:color w:val="0070C0"/>
            <w:sz w:val="22"/>
            <w:szCs w:val="22"/>
          </w:rPr>
          <w:t>HE Admissions Procedure</w:t>
        </w:r>
      </w:hyperlink>
    </w:p>
    <w:p w14:paraId="5237F96A" w14:textId="12C4C76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486828E1"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r>
        <w:rPr>
          <w:b/>
        </w:rPr>
        <w:tab/>
      </w:r>
      <w:r w:rsidRPr="3C049DC4">
        <w:rPr>
          <w:rFonts w:ascii="Century Gothic" w:eastAsia="Century Gothic" w:hAnsi="Century Gothic" w:cs="Century Gothic"/>
          <w:b/>
          <w:bCs/>
          <w:color w:val="1F3864" w:themeColor="accent5" w:themeShade="80"/>
        </w:rPr>
        <w:t xml:space="preserve">Applications Via UCAS </w:t>
      </w:r>
    </w:p>
    <w:p w14:paraId="5EF5239E"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7D64431B" w14:textId="72F57EB8" w:rsidR="00EF07F5" w:rsidRPr="00607DA1"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19175A7C">
        <w:rPr>
          <w:rFonts w:ascii="Century Gothic" w:eastAsia="Century Gothic" w:hAnsi="Century Gothic" w:cs="Century Gothic"/>
          <w:color w:val="1F3864" w:themeColor="accent5" w:themeShade="80"/>
          <w:sz w:val="22"/>
          <w:szCs w:val="22"/>
        </w:rPr>
        <w:t>Applicants can apply via Universities and Colleges Admissions Service (UCAS). Please see the UCAS website (</w:t>
      </w:r>
      <w:hyperlink r:id="rId15">
        <w:r w:rsidRPr="19175A7C">
          <w:rPr>
            <w:rStyle w:val="Hyperlink"/>
            <w:rFonts w:ascii="Century Gothic" w:eastAsia="Century Gothic" w:hAnsi="Century Gothic" w:cs="Century Gothic"/>
            <w:color w:val="0070C0"/>
          </w:rPr>
          <w:t>www.ucas.com</w:t>
        </w:r>
      </w:hyperlink>
      <w:r w:rsidRPr="19175A7C">
        <w:rPr>
          <w:rFonts w:ascii="Century Gothic" w:eastAsia="Century Gothic" w:hAnsi="Century Gothic" w:cs="Century Gothic"/>
          <w:color w:val="1F3864" w:themeColor="accent5" w:themeShade="80"/>
          <w:sz w:val="22"/>
          <w:szCs w:val="22"/>
        </w:rPr>
        <w:t xml:space="preserve">) for specific deadlines. Students are signposted to the UCAS website from </w:t>
      </w:r>
      <w:r w:rsidR="39649C8F" w:rsidRPr="19175A7C">
        <w:rPr>
          <w:rFonts w:ascii="Century Gothic" w:eastAsia="Century Gothic" w:hAnsi="Century Gothic" w:cs="Century Gothic"/>
          <w:color w:val="1F3864" w:themeColor="accent5" w:themeShade="80"/>
          <w:sz w:val="22"/>
          <w:szCs w:val="22"/>
        </w:rPr>
        <w:t>DCG</w:t>
      </w:r>
      <w:r w:rsidRPr="19175A7C">
        <w:rPr>
          <w:rFonts w:ascii="Century Gothic" w:eastAsia="Century Gothic" w:hAnsi="Century Gothic" w:cs="Century Gothic"/>
          <w:color w:val="1F3864" w:themeColor="accent5" w:themeShade="80"/>
          <w:sz w:val="22"/>
          <w:szCs w:val="22"/>
        </w:rPr>
        <w:t xml:space="preserve"> website, which </w:t>
      </w:r>
      <w:r w:rsidRPr="19175A7C">
        <w:rPr>
          <w:rFonts w:ascii="Century Gothic" w:eastAsia="Century Gothic" w:hAnsi="Century Gothic" w:cs="Century Gothic"/>
          <w:color w:val="1F3864" w:themeColor="accent5" w:themeShade="80"/>
          <w:sz w:val="22"/>
          <w:szCs w:val="22"/>
        </w:rPr>
        <w:lastRenderedPageBreak/>
        <w:t xml:space="preserve">includes accurate course information and </w:t>
      </w:r>
      <w:r w:rsidR="78243E07" w:rsidRPr="19175A7C">
        <w:rPr>
          <w:rFonts w:ascii="Century Gothic" w:eastAsia="Century Gothic" w:hAnsi="Century Gothic" w:cs="Century Gothic"/>
          <w:color w:val="1F3864" w:themeColor="accent5" w:themeShade="80"/>
          <w:sz w:val="22"/>
          <w:szCs w:val="22"/>
        </w:rPr>
        <w:t>DCG</w:t>
      </w:r>
      <w:r w:rsidRPr="19175A7C">
        <w:rPr>
          <w:rFonts w:ascii="Century Gothic" w:eastAsia="Century Gothic" w:hAnsi="Century Gothic" w:cs="Century Gothic"/>
          <w:color w:val="1F3864" w:themeColor="accent5" w:themeShade="80"/>
          <w:sz w:val="22"/>
          <w:szCs w:val="22"/>
        </w:rPr>
        <w:t xml:space="preserve">’s Higher Education Terms and Conditions: </w:t>
      </w:r>
      <w:hyperlink r:id="rId16">
        <w:r w:rsidRPr="19175A7C">
          <w:rPr>
            <w:rStyle w:val="Hyperlink"/>
            <w:rFonts w:ascii="Century Gothic" w:eastAsia="Century Gothic" w:hAnsi="Century Gothic" w:cs="Century Gothic"/>
            <w:color w:val="0070C0"/>
            <w:sz w:val="22"/>
            <w:szCs w:val="22"/>
          </w:rPr>
          <w:t>https://www.derby-college.ac.uk/documents/he/terms_conditions.pdf</w:t>
        </w:r>
      </w:hyperlink>
    </w:p>
    <w:p w14:paraId="6BE056BC"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72522164" w14:textId="593C9609"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Pr>
          <w:b/>
        </w:rPr>
        <w:tab/>
      </w:r>
      <w:r w:rsidRPr="3C049DC4">
        <w:rPr>
          <w:rFonts w:ascii="Century Gothic" w:eastAsia="Century Gothic" w:hAnsi="Century Gothic" w:cs="Century Gothic"/>
          <w:b/>
          <w:bCs/>
          <w:color w:val="1F3864" w:themeColor="accent5" w:themeShade="80"/>
        </w:rPr>
        <w:t xml:space="preserve">Applications to DCG </w:t>
      </w:r>
    </w:p>
    <w:p w14:paraId="53D7E6B9"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1CBB288B" w14:textId="16316E1B"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Pr>
          <w:sz w:val="22"/>
          <w:szCs w:val="22"/>
        </w:rPr>
        <w:tab/>
      </w:r>
      <w:r w:rsidRPr="3C049DC4">
        <w:rPr>
          <w:rFonts w:ascii="Century Gothic" w:eastAsia="Century Gothic" w:hAnsi="Century Gothic" w:cs="Century Gothic"/>
          <w:color w:val="1F3864" w:themeColor="accent5" w:themeShade="80"/>
          <w:sz w:val="22"/>
          <w:szCs w:val="22"/>
        </w:rPr>
        <w:t xml:space="preserve">Applicants can apply directly to </w:t>
      </w:r>
      <w:r w:rsidR="5ABF4C88"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w:t>
      </w:r>
    </w:p>
    <w:p w14:paraId="530F0E19" w14:textId="77777777" w:rsidR="00EF07F5" w:rsidRDefault="00EF07F5" w:rsidP="3C049DC4">
      <w:pPr>
        <w:pStyle w:val="Default"/>
        <w:spacing w:line="360" w:lineRule="auto"/>
        <w:ind w:left="574"/>
        <w:rPr>
          <w:rFonts w:ascii="Century Gothic" w:eastAsia="Century Gothic" w:hAnsi="Century Gothic" w:cs="Century Gothic"/>
          <w:color w:val="1F3864" w:themeColor="accent5" w:themeShade="80"/>
          <w:sz w:val="22"/>
          <w:szCs w:val="22"/>
        </w:rPr>
      </w:pPr>
    </w:p>
    <w:p w14:paraId="039CB85E" w14:textId="354F284F"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Online applicants will receive an automatic reply from</w:t>
      </w:r>
      <w:r w:rsidR="435B1C17" w:rsidRPr="3C049DC4">
        <w:rPr>
          <w:rFonts w:ascii="Century Gothic" w:eastAsia="Century Gothic" w:hAnsi="Century Gothic" w:cs="Century Gothic"/>
          <w:color w:val="1F3864" w:themeColor="accent5" w:themeShade="80"/>
          <w:sz w:val="22"/>
          <w:szCs w:val="22"/>
        </w:rPr>
        <w:t xml:space="preserve"> the</w:t>
      </w:r>
      <w:r w:rsidRPr="3C049DC4">
        <w:rPr>
          <w:rFonts w:ascii="Century Gothic" w:eastAsia="Century Gothic" w:hAnsi="Century Gothic" w:cs="Century Gothic"/>
          <w:color w:val="1F3864" w:themeColor="accent5" w:themeShade="80"/>
          <w:sz w:val="22"/>
          <w:szCs w:val="22"/>
        </w:rPr>
        <w:t xml:space="preserve"> </w:t>
      </w:r>
      <w:r w:rsidR="5E0BDFC1"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website confirming receipt of their application. </w:t>
      </w:r>
    </w:p>
    <w:p w14:paraId="2E59951D"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3DBA3E65" w14:textId="77777777" w:rsidR="00EF07F5" w:rsidRDefault="00EF07F5" w:rsidP="3C049DC4">
      <w:pPr>
        <w:pStyle w:val="Default"/>
        <w:spacing w:line="360" w:lineRule="auto"/>
        <w:ind w:left="574"/>
        <w:rPr>
          <w:rFonts w:ascii="Century Gothic" w:eastAsia="Century Gothic" w:hAnsi="Century Gothic" w:cs="Century Gothic"/>
          <w:color w:val="1F3864" w:themeColor="accent5" w:themeShade="80"/>
          <w:sz w:val="22"/>
          <w:szCs w:val="22"/>
        </w:rPr>
      </w:pPr>
    </w:p>
    <w:p w14:paraId="2CF87FC2" w14:textId="77777777" w:rsidR="00EF07F5" w:rsidRPr="00237C27"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Handwritten applications are not routinely accepted at DCG. Should an applicant require assistance in completing an application form or cannot access an online version, they should contact the Student Services Team.  The Student Services Team can be accessed on 01332 387473 for course information and admissions enquires.</w:t>
      </w:r>
    </w:p>
    <w:p w14:paraId="544A11DD" w14:textId="77777777" w:rsidR="00EF07F5" w:rsidRDefault="00EF07F5" w:rsidP="3C049DC4">
      <w:pPr>
        <w:pStyle w:val="Default"/>
        <w:spacing w:line="360" w:lineRule="auto"/>
        <w:ind w:left="574"/>
        <w:rPr>
          <w:rFonts w:ascii="Century Gothic" w:eastAsia="Century Gothic" w:hAnsi="Century Gothic" w:cs="Century Gothic"/>
          <w:color w:val="1F3864" w:themeColor="accent5" w:themeShade="80"/>
          <w:sz w:val="22"/>
          <w:szCs w:val="22"/>
        </w:rPr>
      </w:pPr>
    </w:p>
    <w:p w14:paraId="389C23B4" w14:textId="065A4F88" w:rsidR="00EF07F5" w:rsidRPr="00237C27"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The application will be made available to the appropriate Admissions</w:t>
      </w:r>
      <w:r w:rsidR="00E40860">
        <w:rPr>
          <w:rFonts w:ascii="Century Gothic" w:eastAsia="Century Gothic" w:hAnsi="Century Gothic" w:cs="Century Gothic"/>
          <w:color w:val="1F3864" w:themeColor="accent5" w:themeShade="80"/>
          <w:sz w:val="22"/>
          <w:szCs w:val="22"/>
        </w:rPr>
        <w:t xml:space="preserve"> </w:t>
      </w:r>
      <w:r w:rsidR="00E40860" w:rsidRPr="00774420">
        <w:rPr>
          <w:rFonts w:ascii="Century Gothic" w:eastAsia="Century Gothic" w:hAnsi="Century Gothic" w:cs="Century Gothic"/>
          <w:color w:val="1F3864" w:themeColor="accent5" w:themeShade="80"/>
          <w:sz w:val="22"/>
          <w:szCs w:val="22"/>
        </w:rPr>
        <w:t>T</w:t>
      </w:r>
      <w:r w:rsidR="00774420">
        <w:rPr>
          <w:rFonts w:ascii="Century Gothic" w:eastAsia="Century Gothic" w:hAnsi="Century Gothic" w:cs="Century Gothic"/>
          <w:color w:val="1F3864" w:themeColor="accent5" w:themeShade="80"/>
          <w:sz w:val="22"/>
          <w:szCs w:val="22"/>
        </w:rPr>
        <w:t>utor</w:t>
      </w:r>
      <w:r w:rsidRPr="3C049DC4">
        <w:rPr>
          <w:rFonts w:ascii="Century Gothic" w:eastAsia="Century Gothic" w:hAnsi="Century Gothic" w:cs="Century Gothic"/>
          <w:color w:val="1F3864" w:themeColor="accent5" w:themeShade="80"/>
          <w:sz w:val="22"/>
          <w:szCs w:val="22"/>
        </w:rPr>
        <w:t xml:space="preserve"> </w:t>
      </w:r>
    </w:p>
    <w:p w14:paraId="591270C1"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337C7714" w14:textId="77777777" w:rsidR="00EF07F5" w:rsidRDefault="00EF07F5" w:rsidP="3C049DC4">
      <w:pPr>
        <w:pStyle w:val="Default"/>
        <w:spacing w:line="360" w:lineRule="auto"/>
        <w:ind w:left="737" w:hanging="737"/>
        <w:rPr>
          <w:rFonts w:ascii="Century Gothic" w:eastAsia="Century Gothic" w:hAnsi="Century Gothic" w:cs="Century Gothic"/>
          <w:b/>
          <w:bCs/>
          <w:color w:val="1F3864" w:themeColor="accent5" w:themeShade="80"/>
        </w:rPr>
      </w:pPr>
      <w:r>
        <w:rPr>
          <w:b/>
        </w:rPr>
        <w:tab/>
      </w:r>
      <w:r w:rsidRPr="3C049DC4">
        <w:rPr>
          <w:rFonts w:ascii="Century Gothic" w:eastAsia="Century Gothic" w:hAnsi="Century Gothic" w:cs="Century Gothic"/>
          <w:b/>
          <w:bCs/>
          <w:color w:val="1F3864" w:themeColor="accent5" w:themeShade="80"/>
        </w:rPr>
        <w:t xml:space="preserve">Assessing Applications </w:t>
      </w:r>
    </w:p>
    <w:p w14:paraId="48F1015F"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60CE81CF" w14:textId="42340A86"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The full application is assessed by the Admissions </w:t>
      </w:r>
      <w:r w:rsidRPr="00774420">
        <w:rPr>
          <w:rFonts w:ascii="Century Gothic" w:eastAsia="Century Gothic" w:hAnsi="Century Gothic" w:cs="Century Gothic"/>
          <w:color w:val="1F3864" w:themeColor="accent5" w:themeShade="80"/>
          <w:sz w:val="22"/>
          <w:szCs w:val="22"/>
        </w:rPr>
        <w:t>T</w:t>
      </w:r>
      <w:r w:rsidR="00774420">
        <w:rPr>
          <w:rFonts w:ascii="Century Gothic" w:eastAsia="Century Gothic" w:hAnsi="Century Gothic" w:cs="Century Gothic"/>
          <w:color w:val="1F3864" w:themeColor="accent5" w:themeShade="80"/>
          <w:sz w:val="22"/>
          <w:szCs w:val="22"/>
        </w:rPr>
        <w:t xml:space="preserve">utor </w:t>
      </w:r>
      <w:r w:rsidRPr="3C049DC4">
        <w:rPr>
          <w:rFonts w:ascii="Century Gothic" w:eastAsia="Century Gothic" w:hAnsi="Century Gothic" w:cs="Century Gothic"/>
          <w:color w:val="1F3864" w:themeColor="accent5" w:themeShade="80"/>
          <w:sz w:val="22"/>
          <w:szCs w:val="22"/>
        </w:rPr>
        <w:t xml:space="preserve">to determine the suitability of an applicant and their potential to succeed on the programme. Applications are first assessed against the entry requirements of the programme applied for. The reason for assessing this aspect first is to avoid applicants needing to undergo further procedures unnecessarily. </w:t>
      </w:r>
    </w:p>
    <w:p w14:paraId="6D56DC68" w14:textId="77777777" w:rsidR="00EF07F5" w:rsidRDefault="00EF07F5" w:rsidP="3C049DC4">
      <w:pPr>
        <w:pStyle w:val="Default"/>
        <w:spacing w:line="360" w:lineRule="auto"/>
        <w:ind w:left="574"/>
        <w:rPr>
          <w:rFonts w:ascii="Century Gothic" w:eastAsia="Century Gothic" w:hAnsi="Century Gothic" w:cs="Century Gothic"/>
          <w:color w:val="1F3864" w:themeColor="accent5" w:themeShade="80"/>
          <w:sz w:val="22"/>
          <w:szCs w:val="22"/>
        </w:rPr>
      </w:pPr>
    </w:p>
    <w:p w14:paraId="38526570" w14:textId="0595FE3C"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In determining whether any offer is possible a number of regulatory checks are undertaken including age to determine any under 18s, fee status assessment to determine the fee to charge and funding eligibility, criminal convictions or inclusion need. These checks must be completed before </w:t>
      </w:r>
      <w:r w:rsidR="575C7116"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is able to proceed to short list for an interview.</w:t>
      </w:r>
    </w:p>
    <w:p w14:paraId="4C0A43A4"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40D1CF22"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During this assessment phase applicants may be contacted for further information or clarification on any aspect. Where an applicant does not respond to information requests in a timely fashion or as requested, the application will be withdrawn on the assumption that there is no longer any </w:t>
      </w:r>
      <w:r w:rsidRPr="3C049DC4">
        <w:rPr>
          <w:rFonts w:ascii="Century Gothic" w:eastAsia="Century Gothic" w:hAnsi="Century Gothic" w:cs="Century Gothic"/>
          <w:color w:val="1F3864" w:themeColor="accent5" w:themeShade="80"/>
          <w:sz w:val="22"/>
          <w:szCs w:val="22"/>
        </w:rPr>
        <w:lastRenderedPageBreak/>
        <w:t>interest to continue or information is being deliberately withheld.</w:t>
      </w:r>
    </w:p>
    <w:p w14:paraId="4C041C0D"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54B4EA40" w14:textId="075BB181" w:rsidR="00EF07F5" w:rsidRDefault="51367437"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Following an initial assessment of the application form prospective students meeting the entry criteria will be made an offer or invited for interview if it is a requirement of the programme. If an interview is not required, applicants be contacted for an informal discussion in order to enable the Admissions </w:t>
      </w:r>
      <w:r w:rsidRPr="00774420">
        <w:rPr>
          <w:rFonts w:ascii="Century Gothic" w:eastAsia="Century Gothic" w:hAnsi="Century Gothic" w:cs="Century Gothic"/>
          <w:color w:val="1F3864" w:themeColor="accent5" w:themeShade="80"/>
          <w:sz w:val="22"/>
          <w:szCs w:val="22"/>
        </w:rPr>
        <w:t>Tutor</w:t>
      </w:r>
      <w:r w:rsidRPr="3C049DC4">
        <w:rPr>
          <w:rFonts w:ascii="Century Gothic" w:eastAsia="Century Gothic" w:hAnsi="Century Gothic" w:cs="Century Gothic"/>
          <w:color w:val="1F3864" w:themeColor="accent5" w:themeShade="80"/>
          <w:sz w:val="22"/>
          <w:szCs w:val="22"/>
        </w:rPr>
        <w:t xml:space="preserve"> (someone who is familiar with the programme e.g. Programme Leader, </w:t>
      </w:r>
      <w:r w:rsidR="6D292F0D" w:rsidRPr="3C049DC4">
        <w:rPr>
          <w:rFonts w:ascii="Century Gothic" w:eastAsia="Century Gothic" w:hAnsi="Century Gothic" w:cs="Century Gothic"/>
          <w:color w:val="1F3864" w:themeColor="accent5" w:themeShade="80"/>
          <w:sz w:val="22"/>
          <w:szCs w:val="22"/>
        </w:rPr>
        <w:t>Curriculum</w:t>
      </w:r>
      <w:r w:rsidRPr="3C049DC4">
        <w:rPr>
          <w:rFonts w:ascii="Century Gothic" w:eastAsia="Century Gothic" w:hAnsi="Century Gothic" w:cs="Century Gothic"/>
          <w:color w:val="1F3864" w:themeColor="accent5" w:themeShade="80"/>
          <w:sz w:val="22"/>
          <w:szCs w:val="22"/>
        </w:rPr>
        <w:t xml:space="preserve"> Manager) to make a decision regarding an application. All admissions decisions are recorded within a central CRM system. </w:t>
      </w:r>
    </w:p>
    <w:p w14:paraId="3B8B76B0"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705504D1" w14:textId="77777777" w:rsidR="00EF07F5" w:rsidRPr="00237C27"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After all checks have been completed, following an interview as required, and where the outcomes have been established a decision to offer or reject an application will be made. The outcome will be one of the following:</w:t>
      </w:r>
    </w:p>
    <w:p w14:paraId="08A6BFB0"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00147CDC" w14:textId="77777777" w:rsidR="00EF07F5" w:rsidRDefault="00EF07F5" w:rsidP="3C049DC4">
      <w:pPr>
        <w:pStyle w:val="Default"/>
        <w:numPr>
          <w:ilvl w:val="0"/>
          <w:numId w:val="16"/>
        </w:numPr>
        <w:spacing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Unconditional offer – where the applicant already meets all entry criteria required, i.e. where the student has already received their examination grades or qualification result. </w:t>
      </w:r>
    </w:p>
    <w:p w14:paraId="2D06C70F" w14:textId="77777777" w:rsidR="00EF07F5" w:rsidRDefault="00EF07F5" w:rsidP="3C049DC4">
      <w:pPr>
        <w:pStyle w:val="Default"/>
        <w:numPr>
          <w:ilvl w:val="0"/>
          <w:numId w:val="16"/>
        </w:numPr>
        <w:spacing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Conditional offer – where the applicant will be required to meet specific entry criteria</w:t>
      </w:r>
    </w:p>
    <w:p w14:paraId="780F5AB2" w14:textId="77777777" w:rsidR="00EF07F5" w:rsidRDefault="00EF07F5" w:rsidP="3C049DC4">
      <w:pPr>
        <w:pStyle w:val="Default"/>
        <w:numPr>
          <w:ilvl w:val="0"/>
          <w:numId w:val="16"/>
        </w:numPr>
        <w:spacing w:line="360" w:lineRule="auto"/>
        <w:ind w:left="1134" w:right="340" w:hanging="39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Rejected – where unfortunately the applicant has not met course- specific entry requirements</w:t>
      </w:r>
    </w:p>
    <w:p w14:paraId="00175AC0"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1B012370" w14:textId="77777777" w:rsidR="00EF07F5" w:rsidRDefault="00EF07F5" w:rsidP="3C049DC4">
      <w:pPr>
        <w:pStyle w:val="Default"/>
        <w:spacing w:line="360" w:lineRule="auto"/>
        <w:ind w:left="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Offers are made in good faith taking into account information as supplied by the applicant and/or referee at the time of the application.</w:t>
      </w:r>
    </w:p>
    <w:p w14:paraId="15B92F32" w14:textId="77777777" w:rsidR="00EF07F5" w:rsidRDefault="00EF07F5" w:rsidP="3C049DC4">
      <w:pPr>
        <w:pStyle w:val="Default"/>
        <w:spacing w:line="360" w:lineRule="auto"/>
        <w:ind w:left="737"/>
        <w:rPr>
          <w:rFonts w:ascii="Century Gothic" w:eastAsia="Century Gothic" w:hAnsi="Century Gothic" w:cs="Century Gothic"/>
          <w:color w:val="1F3864" w:themeColor="accent5" w:themeShade="80"/>
          <w:sz w:val="22"/>
          <w:szCs w:val="22"/>
        </w:rPr>
      </w:pPr>
    </w:p>
    <w:p w14:paraId="7C54586B" w14:textId="555A38DD"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In the event that an offer is made via UCAS, applicants will also receive an email to form the full offer contract. Applicants who have applied directly to </w:t>
      </w:r>
      <w:r w:rsidR="0BAD37A9"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will receive their full offer by email.</w:t>
      </w:r>
    </w:p>
    <w:p w14:paraId="4AD0F71C" w14:textId="77777777" w:rsidR="00EF07F5" w:rsidRDefault="00EF07F5" w:rsidP="3C049DC4">
      <w:pPr>
        <w:pStyle w:val="Default"/>
        <w:spacing w:line="360" w:lineRule="auto"/>
        <w:ind w:left="574"/>
        <w:rPr>
          <w:rFonts w:ascii="Century Gothic" w:eastAsia="Century Gothic" w:hAnsi="Century Gothic" w:cs="Century Gothic"/>
          <w:color w:val="1F3864" w:themeColor="accent5" w:themeShade="80"/>
          <w:sz w:val="22"/>
          <w:szCs w:val="22"/>
        </w:rPr>
      </w:pPr>
    </w:p>
    <w:p w14:paraId="4DA4B8ED"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Conditional offers are usually based on academic requirements but may also include non-academic conditions to be satisfied such as work experience or the completion of a DBS (Disclosure and Barring Service check. After required conditions have been met, an applicants’ status will progress from conditional to unconditional. However, there may still be some non-academic conditions carried over that need to be satisfied in advance of enrolment.</w:t>
      </w:r>
    </w:p>
    <w:p w14:paraId="43572813"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01A941CA" w14:textId="2E0AB88B"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Applicants who have submitted an application via UCAS will be able to track the progress of this offer through “UCAS track”. Once examination results </w:t>
      </w:r>
      <w:r w:rsidRPr="3C049DC4">
        <w:rPr>
          <w:rFonts w:ascii="Century Gothic" w:eastAsia="Century Gothic" w:hAnsi="Century Gothic" w:cs="Century Gothic"/>
          <w:color w:val="1F3864" w:themeColor="accent5" w:themeShade="80"/>
          <w:sz w:val="22"/>
          <w:szCs w:val="22"/>
        </w:rPr>
        <w:lastRenderedPageBreak/>
        <w:t xml:space="preserve">become available </w:t>
      </w:r>
      <w:r w:rsidR="5415282C"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will review and update any ‘Conditional’ offers making them either ‘Unconditional’ or ‘Reject.’</w:t>
      </w:r>
    </w:p>
    <w:p w14:paraId="554D908A"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1BAED3C8"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Such conditions will only be applied where the application is very strong and it is felt that it is realistic in terms of time frame for the applicant to achieve these additional requirements. If it is not realistic as the application has been submitted late and such requirements are imperative for consistency and potential to succeed on the programme, then most likely the application will be rejected.</w:t>
      </w:r>
    </w:p>
    <w:p w14:paraId="1CFF4FD6"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09A696B8"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Unconditional offers will not have any academic conditions stipulated, but the offer may still expect an applicant to meet non-academic conditions such as criminal records and occupational health clearances. All such conditions including those where qualifications or other information needs to be verified will be expected to be met satisfactorily in advance of enrolment.</w:t>
      </w:r>
    </w:p>
    <w:p w14:paraId="56F0B961"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6C04A257" w14:textId="19B1B66E" w:rsidR="00EF07F5" w:rsidRPr="00237C27"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Where a Degree Awarding Power (DAP) or Awarding Organisation (OA) imposes specific entry requirements, </w:t>
      </w:r>
      <w:r w:rsidR="2F521F76"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will assist the applicant to check whether they meet those requirements. The responsibility of the accuracy of the information supplied to the validating body rests with the applicant.</w:t>
      </w:r>
    </w:p>
    <w:p w14:paraId="08D4D739" w14:textId="77777777" w:rsidR="00EF07F5" w:rsidRDefault="00EF07F5" w:rsidP="3C049DC4">
      <w:pPr>
        <w:pStyle w:val="Default"/>
        <w:spacing w:line="360" w:lineRule="auto"/>
        <w:ind w:left="737" w:hanging="737"/>
        <w:rPr>
          <w:rFonts w:ascii="Century Gothic" w:eastAsia="Century Gothic" w:hAnsi="Century Gothic" w:cs="Century Gothic"/>
          <w:b/>
          <w:bCs/>
          <w:color w:val="1F3864" w:themeColor="accent5" w:themeShade="80"/>
        </w:rPr>
      </w:pPr>
    </w:p>
    <w:p w14:paraId="440F2352" w14:textId="13CAE160" w:rsidR="00AB2899" w:rsidRDefault="00AB2899" w:rsidP="3C049DC4">
      <w:pPr>
        <w:pStyle w:val="Default"/>
        <w:spacing w:line="360" w:lineRule="auto"/>
        <w:ind w:left="574"/>
        <w:rPr>
          <w:rFonts w:ascii="Century Gothic" w:eastAsia="Century Gothic" w:hAnsi="Century Gothic" w:cs="Century Gothic"/>
          <w:b/>
          <w:bCs/>
          <w:color w:val="1F3864" w:themeColor="accent5" w:themeShade="80"/>
        </w:rPr>
      </w:pPr>
    </w:p>
    <w:p w14:paraId="3703146D" w14:textId="77777777" w:rsidR="00AB2899" w:rsidRDefault="00AB2899" w:rsidP="3C049DC4">
      <w:pPr>
        <w:pStyle w:val="Default"/>
        <w:spacing w:line="360" w:lineRule="auto"/>
        <w:ind w:left="737" w:hanging="737"/>
        <w:rPr>
          <w:rFonts w:ascii="Century Gothic" w:eastAsia="Century Gothic" w:hAnsi="Century Gothic" w:cs="Century Gothic"/>
          <w:b/>
          <w:bCs/>
          <w:color w:val="1F3864" w:themeColor="accent5" w:themeShade="80"/>
        </w:rPr>
      </w:pPr>
    </w:p>
    <w:p w14:paraId="685163AC" w14:textId="1BEB9014" w:rsidR="00EF07F5" w:rsidRDefault="00EF07F5" w:rsidP="3C049DC4">
      <w:pPr>
        <w:pStyle w:val="Default"/>
        <w:spacing w:line="360" w:lineRule="auto"/>
        <w:ind w:left="737" w:hanging="163"/>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b/>
          <w:bCs/>
          <w:color w:val="1F3864" w:themeColor="accent5" w:themeShade="80"/>
        </w:rPr>
        <w:t xml:space="preserve">Responding to the Offer </w:t>
      </w:r>
    </w:p>
    <w:p w14:paraId="15699FA5"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101E2E79" w14:textId="070AF9C7" w:rsidR="00EF07F5" w:rsidRPr="00607DA1"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When a student has been made an offer they will be sent an information pack including a link to view </w:t>
      </w:r>
      <w:r w:rsidR="2E90C035"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’s terms and conditions, programme information and accommodation information in compliance with the requirements set by the Competition and Markets Authority (CMA). Applicants can view the Terms and Conditions at any point on the website: </w:t>
      </w:r>
      <w:hyperlink r:id="rId17">
        <w:r w:rsidRPr="3C049DC4">
          <w:rPr>
            <w:rStyle w:val="Hyperlink"/>
            <w:rFonts w:ascii="Century Gothic" w:eastAsia="Century Gothic" w:hAnsi="Century Gothic" w:cs="Century Gothic"/>
            <w:color w:val="0070C0"/>
          </w:rPr>
          <w:t>https://www.derby-college.ac.uk/documents/he/terms_conditions.pdf</w:t>
        </w:r>
      </w:hyperlink>
    </w:p>
    <w:p w14:paraId="4AF5CEBA"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5308A07E"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Applicants must accept their offer (whether conditional or unconditional) In order to secure their place on a course.</w:t>
      </w:r>
    </w:p>
    <w:p w14:paraId="0D01E355"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1C7AFA64"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Where applicants have applied directly and received an offer, a response to the offer is expected to be received within 14 days of it being sent. The </w:t>
      </w:r>
      <w:r w:rsidRPr="3C049DC4">
        <w:rPr>
          <w:rFonts w:ascii="Century Gothic" w:eastAsia="Century Gothic" w:hAnsi="Century Gothic" w:cs="Century Gothic"/>
          <w:color w:val="1F3864" w:themeColor="accent5" w:themeShade="80"/>
          <w:sz w:val="22"/>
          <w:szCs w:val="22"/>
        </w:rPr>
        <w:lastRenderedPageBreak/>
        <w:t>response should either be to accept or decline. Applicants will have a further 14 days as a cooling off period to change their decision.</w:t>
      </w:r>
    </w:p>
    <w:p w14:paraId="34E47EE2"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3CE4728D"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UCAS applicants will have varying deadlines to respond to an offer.</w:t>
      </w:r>
    </w:p>
    <w:p w14:paraId="230B6BE2"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08367CB8"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No response will result in the offer being automatically declined by the UCAS system. If this happens applicants will still have a 14-day cooling off period during which an applicant can override the automated decline.</w:t>
      </w:r>
    </w:p>
    <w:p w14:paraId="2D5B5A7D" w14:textId="77777777" w:rsidR="00EF07F5" w:rsidRDefault="00EF07F5" w:rsidP="3C049DC4">
      <w:pPr>
        <w:pStyle w:val="Default"/>
        <w:spacing w:line="360" w:lineRule="auto"/>
        <w:ind w:left="574"/>
        <w:rPr>
          <w:rFonts w:ascii="Century Gothic" w:eastAsia="Century Gothic" w:hAnsi="Century Gothic" w:cs="Century Gothic"/>
          <w:color w:val="1F3864" w:themeColor="accent5" w:themeShade="80"/>
          <w:sz w:val="22"/>
          <w:szCs w:val="22"/>
        </w:rPr>
      </w:pPr>
    </w:p>
    <w:p w14:paraId="24AB375E"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UCAS applicants will be able to make three types of responses: Firm acceptance, Insurance acceptance and Decline. Firm acceptance means this is the preferred offer. Insurance acceptance usually means that this is the back-up choice. It is up to the applicant to decide on what merits the Firm and Insurance acceptances are made.</w:t>
      </w:r>
    </w:p>
    <w:p w14:paraId="5777CF56"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2A5A0D4E"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Where an applicant has made an institution/programme their Insurance choice, the institution is obliged to hold the place on the programme until results have been received. If the results meet the offer conditions (if there are any) then the offer will progress to unconditional status.</w:t>
      </w:r>
    </w:p>
    <w:p w14:paraId="5BBD34DD"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04A1DFBA"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At this point, if an applicant’s Firm choice rejects their application based on results, then they will automatically move to Unconditional Firm status with what was originally their Insurance choice.</w:t>
      </w:r>
    </w:p>
    <w:p w14:paraId="51108317"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0181DCC1"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There may of course still be non-academic conditions to be satisfied in order to be eligible to enrol or remain on the programme.</w:t>
      </w:r>
    </w:p>
    <w:p w14:paraId="6DFE91F5"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5A324689"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Applicants are able to withdraw their application any time before enrolment by making a request in writing to the relevant admissions office. After enrolment Student Withdrawal rules would apply.</w:t>
      </w:r>
    </w:p>
    <w:p w14:paraId="55C8D5C0"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14BD1ABE" w14:textId="1A36A85A" w:rsidR="00EF07F5" w:rsidRPr="00237C27" w:rsidRDefault="2E90C03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 xml:space="preserve"> may also withdraw the application if an applicant does not attend interview, provide requested information or complete enrolment. </w:t>
      </w:r>
    </w:p>
    <w:p w14:paraId="35B7A565"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6150DA46"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b/>
          <w:bCs/>
          <w:color w:val="1F3864" w:themeColor="accent5" w:themeShade="80"/>
        </w:rPr>
        <w:t xml:space="preserve"> </w:t>
      </w:r>
      <w:r>
        <w:tab/>
      </w:r>
      <w:r w:rsidRPr="3C049DC4">
        <w:rPr>
          <w:rFonts w:ascii="Century Gothic" w:eastAsia="Century Gothic" w:hAnsi="Century Gothic" w:cs="Century Gothic"/>
          <w:b/>
          <w:bCs/>
          <w:color w:val="1F3864" w:themeColor="accent5" w:themeShade="80"/>
        </w:rPr>
        <w:t>Internal Applicants</w:t>
      </w:r>
    </w:p>
    <w:p w14:paraId="75D28D50"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298426C2"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Internal applicants are defined as current students who are registered at DCG in the academic year prior to the year they intend to study on a Higher </w:t>
      </w:r>
      <w:r w:rsidRPr="3C049DC4">
        <w:rPr>
          <w:rFonts w:ascii="Century Gothic" w:eastAsia="Century Gothic" w:hAnsi="Century Gothic" w:cs="Century Gothic"/>
          <w:color w:val="1F3864" w:themeColor="accent5" w:themeShade="80"/>
          <w:sz w:val="22"/>
          <w:szCs w:val="22"/>
        </w:rPr>
        <w:lastRenderedPageBreak/>
        <w:t>Education programme. Internal applicants will be subject to meeting the same entry criteria as external applicants.</w:t>
      </w:r>
    </w:p>
    <w:p w14:paraId="4DCF9B25" w14:textId="77777777" w:rsidR="00EF07F5" w:rsidRDefault="00EF07F5" w:rsidP="3C049DC4">
      <w:pPr>
        <w:pStyle w:val="Default"/>
        <w:spacing w:line="360" w:lineRule="auto"/>
        <w:ind w:left="574"/>
        <w:rPr>
          <w:rFonts w:ascii="Century Gothic" w:eastAsia="Century Gothic" w:hAnsi="Century Gothic" w:cs="Century Gothic"/>
          <w:color w:val="1F3864" w:themeColor="accent5" w:themeShade="80"/>
          <w:sz w:val="22"/>
          <w:szCs w:val="22"/>
        </w:rPr>
      </w:pPr>
    </w:p>
    <w:p w14:paraId="307FBCE6" w14:textId="77777777" w:rsidR="00EF07F5" w:rsidRPr="00237C27"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Where an internal applicant has had poor attendance, performance or behaviour or has a current disciplinary sanction, it may impact the decision of the Admissions Tutor. Alternatively, it may be deemed appropriate to decline a place at this time. Admissions decisions will be reviewed by DCG and all decisions made available for scrutiny by the degree awarding institution. </w:t>
      </w:r>
    </w:p>
    <w:p w14:paraId="2F7E90F5"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258BD2D5"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b/>
          <w:bCs/>
          <w:color w:val="1F3864" w:themeColor="accent5" w:themeShade="80"/>
        </w:rPr>
        <w:t xml:space="preserve"> </w:t>
      </w:r>
      <w:r>
        <w:tab/>
      </w:r>
      <w:r w:rsidRPr="3C049DC4">
        <w:rPr>
          <w:rFonts w:ascii="Century Gothic" w:eastAsia="Century Gothic" w:hAnsi="Century Gothic" w:cs="Century Gothic"/>
          <w:b/>
          <w:bCs/>
          <w:color w:val="1F3864" w:themeColor="accent5" w:themeShade="80"/>
        </w:rPr>
        <w:t>Recognition of Prior Learning</w:t>
      </w:r>
    </w:p>
    <w:p w14:paraId="00240854"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016034EB"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The purpose of Recognition of Prior Learning (RPL) is to assess an individual’s previous educational attainment or experiential learning against the curriculum of the programme being applied for. In doing so, the student may be able to reduce the modules required to be taken to achieve the award and thus reduce the length of their programme and fee payable.</w:t>
      </w:r>
    </w:p>
    <w:p w14:paraId="62DAC9E7"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7E808369"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Applicants wishing to be considered under this procedure will need to notify the Admissions Team in writing where then the application will be shared with the programme leader for further consideration in this respect.</w:t>
      </w:r>
    </w:p>
    <w:p w14:paraId="233E4629"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271665D8"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The RPL process is always officiated at the point of enrolment, therefore the offer letter will still state the full course and fee or pro-rata fee if on a part-time basis.</w:t>
      </w:r>
    </w:p>
    <w:p w14:paraId="214DC5DE"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3FACAA8B" w14:textId="127AE87C"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For more details, please refer to </w:t>
      </w:r>
      <w:r w:rsidR="1ADDF485"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’s procedure for Recognition of Prior Learning. </w:t>
      </w:r>
    </w:p>
    <w:p w14:paraId="5E17689E"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4315523C" w14:textId="77777777" w:rsidR="00EF07F5" w:rsidRPr="00B9090C" w:rsidRDefault="00EF07F5" w:rsidP="3C049DC4">
      <w:pPr>
        <w:spacing w:line="360" w:lineRule="auto"/>
        <w:rPr>
          <w:rFonts w:ascii="Century Gothic" w:eastAsia="Century Gothic" w:hAnsi="Century Gothic" w:cs="Century Gothic"/>
          <w:b/>
          <w:bCs/>
          <w:color w:val="1F3864" w:themeColor="accent5" w:themeShade="80"/>
        </w:rPr>
      </w:pPr>
      <w:r w:rsidRPr="3C049DC4">
        <w:rPr>
          <w:rFonts w:ascii="Century Gothic" w:eastAsia="Century Gothic" w:hAnsi="Century Gothic" w:cs="Century Gothic"/>
          <w:b/>
          <w:bCs/>
          <w:color w:val="1F3864" w:themeColor="accent5" w:themeShade="80"/>
        </w:rPr>
        <w:t xml:space="preserve">Higher Education Apprenticeships </w:t>
      </w:r>
    </w:p>
    <w:p w14:paraId="2400A3A9"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47935865"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Pr>
          <w:sz w:val="22"/>
          <w:szCs w:val="22"/>
        </w:rPr>
        <w:tab/>
      </w:r>
      <w:r w:rsidRPr="3C049DC4">
        <w:rPr>
          <w:rFonts w:ascii="Century Gothic" w:eastAsia="Century Gothic" w:hAnsi="Century Gothic" w:cs="Century Gothic"/>
          <w:b/>
          <w:bCs/>
          <w:color w:val="1F3864" w:themeColor="accent5" w:themeShade="80"/>
        </w:rPr>
        <w:t>General Entry Criteria</w:t>
      </w:r>
      <w:r w:rsidRPr="3C049DC4">
        <w:rPr>
          <w:rFonts w:ascii="Century Gothic" w:eastAsia="Century Gothic" w:hAnsi="Century Gothic" w:cs="Century Gothic"/>
          <w:color w:val="1F3864" w:themeColor="accent5" w:themeShade="80"/>
        </w:rPr>
        <w:t xml:space="preserve"> </w:t>
      </w:r>
    </w:p>
    <w:p w14:paraId="7AB2F7E6"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3EDD3142"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Eligibility for entry will consider residency in accordance with the Education and Skills Funding Agency (ESFA) rules for apprenticeship funding.</w:t>
      </w:r>
    </w:p>
    <w:p w14:paraId="46B790CF"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0B3B3B41"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r>
        <w:rPr>
          <w:sz w:val="22"/>
          <w:szCs w:val="22"/>
        </w:rPr>
        <w:tab/>
      </w:r>
      <w:r w:rsidRPr="3C049DC4">
        <w:rPr>
          <w:rFonts w:ascii="Century Gothic" w:eastAsia="Century Gothic" w:hAnsi="Century Gothic" w:cs="Century Gothic"/>
          <w:b/>
          <w:bCs/>
          <w:color w:val="1F3864" w:themeColor="accent5" w:themeShade="80"/>
        </w:rPr>
        <w:t xml:space="preserve">Specific requirements at GCSE or equivalent </w:t>
      </w:r>
    </w:p>
    <w:p w14:paraId="7A5CEF39"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5A5249E7"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Where an apprentice does not hold at least a grade 4 (or C) GCSE (or </w:t>
      </w:r>
      <w:r w:rsidRPr="3C049DC4">
        <w:rPr>
          <w:rFonts w:ascii="Century Gothic" w:eastAsia="Century Gothic" w:hAnsi="Century Gothic" w:cs="Century Gothic"/>
          <w:color w:val="1F3864" w:themeColor="accent5" w:themeShade="80"/>
          <w:sz w:val="22"/>
          <w:szCs w:val="22"/>
        </w:rPr>
        <w:lastRenderedPageBreak/>
        <w:t xml:space="preserve">equivalent) qualification in maths and/or English they will be required (in most cases) to undertake and achieve at least level 2 alongside their apprenticeship. Where an apprentice does not hold the remaining required grades in line with the entry criteria their entry will be determined by the employer and admissions </w:t>
      </w:r>
      <w:r w:rsidRPr="00774420">
        <w:rPr>
          <w:rFonts w:ascii="Century Gothic" w:eastAsia="Century Gothic" w:hAnsi="Century Gothic" w:cs="Century Gothic"/>
          <w:color w:val="1F3864" w:themeColor="accent5" w:themeShade="80"/>
          <w:sz w:val="22"/>
          <w:szCs w:val="22"/>
        </w:rPr>
        <w:t>tutor.</w:t>
      </w:r>
    </w:p>
    <w:p w14:paraId="21EA07D9"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 </w:t>
      </w:r>
    </w:p>
    <w:p w14:paraId="2A3BDD03"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r>
        <w:rPr>
          <w:sz w:val="22"/>
          <w:szCs w:val="22"/>
        </w:rPr>
        <w:tab/>
      </w:r>
      <w:r w:rsidRPr="3C049DC4">
        <w:rPr>
          <w:rFonts w:ascii="Century Gothic" w:eastAsia="Century Gothic" w:hAnsi="Century Gothic" w:cs="Century Gothic"/>
          <w:b/>
          <w:bCs/>
          <w:color w:val="1F3864" w:themeColor="accent5" w:themeShade="80"/>
        </w:rPr>
        <w:t xml:space="preserve">Audition and Portfolio Requirements </w:t>
      </w:r>
    </w:p>
    <w:p w14:paraId="559A7303"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213B1967" w14:textId="11912DEB"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Apprentices may be required to undertake an interview with the employer and/or </w:t>
      </w:r>
      <w:r w:rsidR="5949A134"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to determine eligibility for entry.</w:t>
      </w:r>
    </w:p>
    <w:p w14:paraId="734A39B0"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01941AC3"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Pr>
          <w:sz w:val="22"/>
          <w:szCs w:val="22"/>
        </w:rPr>
        <w:tab/>
      </w:r>
      <w:r w:rsidRPr="3C049DC4">
        <w:rPr>
          <w:rFonts w:ascii="Century Gothic" w:eastAsia="Century Gothic" w:hAnsi="Century Gothic" w:cs="Century Gothic"/>
          <w:b/>
          <w:bCs/>
          <w:color w:val="1F3864" w:themeColor="accent5" w:themeShade="80"/>
        </w:rPr>
        <w:t>Other Criteria</w:t>
      </w:r>
      <w:r w:rsidRPr="3C049DC4">
        <w:rPr>
          <w:rFonts w:ascii="Century Gothic" w:eastAsia="Century Gothic" w:hAnsi="Century Gothic" w:cs="Century Gothic"/>
          <w:color w:val="1F3864" w:themeColor="accent5" w:themeShade="80"/>
          <w:sz w:val="22"/>
          <w:szCs w:val="22"/>
        </w:rPr>
        <w:t xml:space="preserve"> </w:t>
      </w:r>
    </w:p>
    <w:p w14:paraId="29D36E34"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2F377FAF"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19175A7C">
        <w:rPr>
          <w:rFonts w:ascii="Century Gothic" w:eastAsia="Century Gothic" w:hAnsi="Century Gothic" w:cs="Century Gothic"/>
          <w:color w:val="1F3864" w:themeColor="accent5" w:themeShade="80"/>
          <w:sz w:val="22"/>
          <w:szCs w:val="22"/>
        </w:rPr>
        <w:t xml:space="preserve">Apprentices who have previously been awarded a qualification at the same level or within the same subject area can undertake a new qualification at the same level or within the same subject area, however, eligibility will be determined in accordance with the ESFA funding rules. For further details, please visit the governments </w:t>
      </w:r>
      <w:hyperlink r:id="rId18">
        <w:r w:rsidRPr="19175A7C">
          <w:rPr>
            <w:rStyle w:val="Hyperlink"/>
            <w:rFonts w:ascii="Century Gothic" w:eastAsia="Century Gothic" w:hAnsi="Century Gothic" w:cs="Century Gothic"/>
            <w:color w:val="0070C0"/>
            <w:sz w:val="22"/>
            <w:szCs w:val="22"/>
          </w:rPr>
          <w:t>‘Become an apprentice’ webpages</w:t>
        </w:r>
      </w:hyperlink>
      <w:r w:rsidRPr="19175A7C">
        <w:rPr>
          <w:rFonts w:ascii="Century Gothic" w:eastAsia="Century Gothic" w:hAnsi="Century Gothic" w:cs="Century Gothic"/>
          <w:color w:val="0070C0"/>
          <w:sz w:val="22"/>
          <w:szCs w:val="22"/>
        </w:rPr>
        <w:t>.</w:t>
      </w:r>
    </w:p>
    <w:p w14:paraId="7F2A23CA"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0EAC0252"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r>
        <w:rPr>
          <w:sz w:val="22"/>
          <w:szCs w:val="22"/>
        </w:rPr>
        <w:tab/>
      </w:r>
      <w:r w:rsidRPr="3C049DC4">
        <w:rPr>
          <w:rFonts w:ascii="Century Gothic" w:eastAsia="Century Gothic" w:hAnsi="Century Gothic" w:cs="Century Gothic"/>
          <w:b/>
          <w:bCs/>
          <w:color w:val="1F3864" w:themeColor="accent5" w:themeShade="80"/>
        </w:rPr>
        <w:t>Qualification verification</w:t>
      </w:r>
      <w:r w:rsidRPr="3C049DC4">
        <w:rPr>
          <w:rFonts w:ascii="Century Gothic" w:eastAsia="Century Gothic" w:hAnsi="Century Gothic" w:cs="Century Gothic"/>
          <w:color w:val="1F3864" w:themeColor="accent5" w:themeShade="80"/>
          <w:sz w:val="22"/>
          <w:szCs w:val="22"/>
        </w:rPr>
        <w:t xml:space="preserve"> </w:t>
      </w:r>
    </w:p>
    <w:p w14:paraId="77E1BE4E"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2A4EB138"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Apprentices are required to provide copies of certificates of qualifications prior to commencement of the apprenticeship.</w:t>
      </w:r>
    </w:p>
    <w:p w14:paraId="27F186FD"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77D462FC"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r>
        <w:rPr>
          <w:sz w:val="22"/>
          <w:szCs w:val="22"/>
        </w:rPr>
        <w:tab/>
      </w:r>
      <w:r w:rsidRPr="3C049DC4">
        <w:rPr>
          <w:rFonts w:ascii="Century Gothic" w:eastAsia="Century Gothic" w:hAnsi="Century Gothic" w:cs="Century Gothic"/>
          <w:b/>
          <w:bCs/>
          <w:color w:val="1F3864" w:themeColor="accent5" w:themeShade="80"/>
        </w:rPr>
        <w:t>Applying</w:t>
      </w:r>
      <w:r w:rsidRPr="3C049DC4">
        <w:rPr>
          <w:rFonts w:ascii="Century Gothic" w:eastAsia="Century Gothic" w:hAnsi="Century Gothic" w:cs="Century Gothic"/>
          <w:color w:val="1F3864" w:themeColor="accent5" w:themeShade="80"/>
          <w:sz w:val="22"/>
          <w:szCs w:val="22"/>
        </w:rPr>
        <w:t xml:space="preserve"> </w:t>
      </w:r>
    </w:p>
    <w:p w14:paraId="29E65DE7"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05AD203E" w14:textId="34DE2044"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Apprentices can only apply to </w:t>
      </w:r>
      <w:r w:rsidR="5949A134"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via a dedicated URL provided to the employer upon confirmation to the University that the apprenticeship will take place. </w:t>
      </w:r>
    </w:p>
    <w:p w14:paraId="5DBA9C46"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5B0A1AA5"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2DAD1764"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r>
        <w:rPr>
          <w:sz w:val="22"/>
          <w:szCs w:val="22"/>
        </w:rPr>
        <w:tab/>
      </w:r>
      <w:r w:rsidRPr="3C049DC4">
        <w:rPr>
          <w:rFonts w:ascii="Century Gothic" w:eastAsia="Century Gothic" w:hAnsi="Century Gothic" w:cs="Century Gothic"/>
          <w:b/>
          <w:bCs/>
          <w:color w:val="1F3864" w:themeColor="accent5" w:themeShade="80"/>
        </w:rPr>
        <w:t>Fees and Fee Status Assessment</w:t>
      </w:r>
      <w:r w:rsidRPr="3C049DC4">
        <w:rPr>
          <w:rFonts w:ascii="Century Gothic" w:eastAsia="Century Gothic" w:hAnsi="Century Gothic" w:cs="Century Gothic"/>
          <w:color w:val="1F3864" w:themeColor="accent5" w:themeShade="80"/>
          <w:sz w:val="22"/>
          <w:szCs w:val="22"/>
        </w:rPr>
        <w:t xml:space="preserve"> </w:t>
      </w:r>
    </w:p>
    <w:p w14:paraId="64671CEF"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62CDF336"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Where the applicant is undertaking an apprenticeship it is the employers’ responsibility to ensure all tuition fees and all other expenses relating to the academic programme are paid. Apprentices are not eligible to apply for funding support from the Student Loans Company.</w:t>
      </w:r>
    </w:p>
    <w:p w14:paraId="11F83829"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lastRenderedPageBreak/>
        <w:t xml:space="preserve"> </w:t>
      </w:r>
    </w:p>
    <w:p w14:paraId="7A8F32B1" w14:textId="77777777" w:rsidR="00EF07F5" w:rsidRDefault="00EF07F5" w:rsidP="3C049DC4">
      <w:pPr>
        <w:pStyle w:val="Default"/>
        <w:spacing w:line="360" w:lineRule="auto"/>
        <w:rPr>
          <w:rFonts w:ascii="Century Gothic" w:eastAsia="Century Gothic" w:hAnsi="Century Gothic" w:cs="Century Gothic"/>
          <w:b/>
          <w:bCs/>
          <w:color w:val="1F3864" w:themeColor="accent5" w:themeShade="80"/>
        </w:rPr>
      </w:pPr>
      <w:r>
        <w:rPr>
          <w:sz w:val="22"/>
          <w:szCs w:val="22"/>
        </w:rPr>
        <w:tab/>
      </w:r>
      <w:r w:rsidRPr="3C049DC4">
        <w:rPr>
          <w:rFonts w:ascii="Century Gothic" w:eastAsia="Century Gothic" w:hAnsi="Century Gothic" w:cs="Century Gothic"/>
          <w:b/>
          <w:bCs/>
          <w:color w:val="1F3864" w:themeColor="accent5" w:themeShade="80"/>
        </w:rPr>
        <w:t xml:space="preserve">Residency Requirements </w:t>
      </w:r>
    </w:p>
    <w:p w14:paraId="62989A2C" w14:textId="77777777" w:rsidR="00EF07F5" w:rsidRDefault="00EF07F5" w:rsidP="3C049DC4">
      <w:pPr>
        <w:pStyle w:val="Default"/>
        <w:spacing w:line="360" w:lineRule="auto"/>
        <w:rPr>
          <w:rFonts w:ascii="Century Gothic" w:eastAsia="Century Gothic" w:hAnsi="Century Gothic" w:cs="Century Gothic"/>
          <w:color w:val="1F3864" w:themeColor="accent5" w:themeShade="80"/>
        </w:rPr>
      </w:pPr>
    </w:p>
    <w:p w14:paraId="135F7D27"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3"/>
          <w:szCs w:val="23"/>
        </w:rPr>
        <w:t xml:space="preserve">An apprentice must demonstrate the same residency criteria to that of a UK applicant, however, this status determines eligibility for the apprenticeship, not fee status. </w:t>
      </w:r>
    </w:p>
    <w:p w14:paraId="2AD18396" w14:textId="77777777" w:rsidR="00EF07F5" w:rsidRPr="00B9090C" w:rsidRDefault="00EF07F5" w:rsidP="3C049DC4">
      <w:pPr>
        <w:pStyle w:val="Heading1"/>
        <w:numPr>
          <w:ilvl w:val="0"/>
          <w:numId w:val="0"/>
        </w:numPr>
        <w:spacing w:line="360" w:lineRule="auto"/>
        <w:ind w:left="720"/>
        <w:rPr>
          <w:rFonts w:ascii="Century Gothic" w:eastAsia="Century Gothic" w:hAnsi="Century Gothic" w:cs="Century Gothic"/>
          <w:b w:val="0"/>
          <w:color w:val="1F3864" w:themeColor="accent5" w:themeShade="80"/>
          <w:sz w:val="24"/>
          <w:szCs w:val="24"/>
        </w:rPr>
      </w:pPr>
      <w:r w:rsidRPr="3C049DC4">
        <w:rPr>
          <w:rFonts w:ascii="Century Gothic" w:eastAsia="Century Gothic" w:hAnsi="Century Gothic" w:cs="Century Gothic"/>
          <w:color w:val="1F3864" w:themeColor="accent5" w:themeShade="80"/>
          <w:sz w:val="24"/>
          <w:szCs w:val="24"/>
        </w:rPr>
        <w:t>Appeals Procedure</w:t>
      </w:r>
    </w:p>
    <w:p w14:paraId="42B1EB42"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3E9B0DAE" w14:textId="544BB531" w:rsidR="00EF07F5" w:rsidRDefault="25BD91C0"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 xml:space="preserve"> expects that all interactions between prospective students, students, supporters and staff will be conducted with mutual understanding and respect. Any unacceptable behaviour will not be tolerated and may prejudice an application or appeal. In exceptional cases, where the seriousness of the behaviour has breached accepted norms, further action may be taken including, but not limited to, withdrawing an offer and cancelling an accommodation application.</w:t>
      </w:r>
    </w:p>
    <w:p w14:paraId="5D68A9B8"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1343EC10" w14:textId="778D42F3"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For UCAS prospective students, where inappropriate behaviour leads to the withdrawal of any offer, </w:t>
      </w:r>
      <w:r w:rsidR="0A5E0D28"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will report its actions to UCAS.</w:t>
      </w:r>
    </w:p>
    <w:p w14:paraId="2FC3CABA"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0544FBCB" w14:textId="009DC73B"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In exceptional circumstances, </w:t>
      </w:r>
      <w:r w:rsidR="215C5338"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may feel morally or legally obliged to report its findings to other authorities.</w:t>
      </w:r>
    </w:p>
    <w:p w14:paraId="427C5364"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36980975" w14:textId="15929878" w:rsidR="00EF07F5" w:rsidRDefault="5540DBCB"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 xml:space="preserve"> is committed to the provision of an admissions service to all prospective students which is fair, efficient and transparent. However, </w:t>
      </w:r>
      <w:r w:rsidR="1147A100"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 xml:space="preserve"> recognises that there may be instances where a prospective student feels aggrieved with </w:t>
      </w:r>
      <w:r w:rsidR="3050B619"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’s admissions decisions or processes and wishes to bring their concerns to our attention either formally or informally.</w:t>
      </w:r>
    </w:p>
    <w:p w14:paraId="01AF9716"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4843E8B4" w14:textId="644110C5" w:rsidR="00EF07F5" w:rsidRDefault="00EF07F5" w:rsidP="3C049DC4">
      <w:pPr>
        <w:pStyle w:val="Default"/>
        <w:numPr>
          <w:ilvl w:val="1"/>
          <w:numId w:val="10"/>
        </w:numPr>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This Procedure is for the use by applicants applying for admission to </w:t>
      </w:r>
      <w:r w:rsidR="60211DA2"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(where the admissions procedure is the sole responsibility of </w:t>
      </w:r>
      <w:r w:rsidR="6E6A76B8"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and should not be confused with the complaints procedure for students which is not open to applicants.</w:t>
      </w:r>
    </w:p>
    <w:p w14:paraId="704326B2"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5B305B52" w14:textId="7965CB73" w:rsidR="00EF07F5" w:rsidRDefault="402E9F8A" w:rsidP="3C049DC4">
      <w:pPr>
        <w:pStyle w:val="Default"/>
        <w:numPr>
          <w:ilvl w:val="1"/>
          <w:numId w:val="10"/>
        </w:numPr>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 xml:space="preserve">, where possible and whilst being sensitive to the concerns of the prospective student, will aim to deal with issues informally. Many issues can be dealt with appropriately in this manner and </w:t>
      </w:r>
      <w:r w:rsidR="5470352E"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 xml:space="preserve">'s appeals procedure has </w:t>
      </w:r>
      <w:r w:rsidR="00EF07F5" w:rsidRPr="3C049DC4">
        <w:rPr>
          <w:rFonts w:ascii="Century Gothic" w:eastAsia="Century Gothic" w:hAnsi="Century Gothic" w:cs="Century Gothic"/>
          <w:color w:val="1F3864" w:themeColor="accent5" w:themeShade="80"/>
          <w:sz w:val="22"/>
          <w:szCs w:val="22"/>
        </w:rPr>
        <w:lastRenderedPageBreak/>
        <w:t>been designed with this in mind. This is not to say they will be treated with less importance and will still form an important part of the University’s regular review of its service delivery.</w:t>
      </w:r>
    </w:p>
    <w:p w14:paraId="692C3EEA"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617686F3" w14:textId="77777777" w:rsidR="00EF07F5" w:rsidRDefault="00EF07F5" w:rsidP="3C049DC4">
      <w:pPr>
        <w:pStyle w:val="Default"/>
        <w:numPr>
          <w:ilvl w:val="1"/>
          <w:numId w:val="10"/>
        </w:numPr>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Any appeal will be handled in isolation from the application and will not prejudice current or future applications.</w:t>
      </w:r>
    </w:p>
    <w:p w14:paraId="1B24005B"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4F2E61FF" w14:textId="79FAE7DA" w:rsidR="00EF07F5" w:rsidRDefault="5DABED15" w:rsidP="3C049DC4">
      <w:pPr>
        <w:pStyle w:val="Default"/>
        <w:numPr>
          <w:ilvl w:val="1"/>
          <w:numId w:val="10"/>
        </w:numPr>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DCG</w:t>
      </w:r>
      <w:r w:rsidR="00EF07F5" w:rsidRPr="3C049DC4">
        <w:rPr>
          <w:rFonts w:ascii="Century Gothic" w:eastAsia="Century Gothic" w:hAnsi="Century Gothic" w:cs="Century Gothic"/>
          <w:color w:val="1F3864" w:themeColor="accent5" w:themeShade="80"/>
          <w:sz w:val="22"/>
          <w:szCs w:val="22"/>
        </w:rPr>
        <w:t xml:space="preserve"> will only normally accept an appeal directly from the prospective student, unless a third party has the explicit consent to act on their behalf.</w:t>
      </w:r>
    </w:p>
    <w:p w14:paraId="417263A8"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5C65ECB6" w14:textId="0DECA022" w:rsidR="00EF07F5" w:rsidRDefault="51367437" w:rsidP="3C049DC4">
      <w:pPr>
        <w:pStyle w:val="Default"/>
        <w:numPr>
          <w:ilvl w:val="1"/>
          <w:numId w:val="10"/>
        </w:numPr>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Prospective students who feel that they have grounds for appeal should raise the matter within 20 working </w:t>
      </w:r>
      <w:r w:rsidR="7B2000C9" w:rsidRPr="3C049DC4">
        <w:rPr>
          <w:rFonts w:ascii="Century Gothic" w:eastAsia="Century Gothic" w:hAnsi="Century Gothic" w:cs="Century Gothic"/>
          <w:color w:val="1F3864" w:themeColor="accent5" w:themeShade="80"/>
          <w:sz w:val="22"/>
          <w:szCs w:val="22"/>
        </w:rPr>
        <w:t>days</w:t>
      </w:r>
      <w:r w:rsidRPr="3C049DC4">
        <w:rPr>
          <w:rFonts w:ascii="Century Gothic" w:eastAsia="Century Gothic" w:hAnsi="Century Gothic" w:cs="Century Gothic"/>
          <w:color w:val="1F3864" w:themeColor="accent5" w:themeShade="80"/>
          <w:sz w:val="22"/>
          <w:szCs w:val="22"/>
        </w:rPr>
        <w:t xml:space="preserve"> of the admission decision of </w:t>
      </w:r>
      <w:r w:rsidR="0961B86D"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being communicated to the applicant.</w:t>
      </w:r>
    </w:p>
    <w:p w14:paraId="4D36E34C" w14:textId="77777777" w:rsidR="00EF07F5" w:rsidRDefault="00EF07F5" w:rsidP="3C049DC4">
      <w:pPr>
        <w:pStyle w:val="ListParagraph"/>
        <w:spacing w:line="360" w:lineRule="auto"/>
        <w:rPr>
          <w:rFonts w:ascii="Century Gothic" w:eastAsia="Century Gothic" w:hAnsi="Century Gothic" w:cs="Century Gothic"/>
          <w:color w:val="1F3864" w:themeColor="accent5" w:themeShade="80"/>
        </w:rPr>
      </w:pPr>
    </w:p>
    <w:p w14:paraId="4DBACB00" w14:textId="77777777" w:rsidR="00EF07F5" w:rsidRPr="00237C27" w:rsidRDefault="00EF07F5" w:rsidP="3C049DC4">
      <w:pPr>
        <w:pStyle w:val="Default"/>
        <w:numPr>
          <w:ilvl w:val="1"/>
          <w:numId w:val="10"/>
        </w:numPr>
        <w:spacing w:line="360" w:lineRule="auto"/>
        <w:ind w:left="737" w:hanging="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For the purposes of this procedure an appeal is defined as a request from an unsuccessful prospective student to review the outcome of an admissions decision and should only be submitted on the following grounds:</w:t>
      </w:r>
    </w:p>
    <w:p w14:paraId="120AAA86"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rPr>
      </w:pPr>
    </w:p>
    <w:p w14:paraId="3E3CA342" w14:textId="7B530DD6" w:rsidR="00EF07F5" w:rsidRDefault="00EF07F5" w:rsidP="3C049DC4">
      <w:pPr>
        <w:pStyle w:val="Default"/>
        <w:spacing w:after="113"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(a) </w:t>
      </w:r>
      <w:r>
        <w:tab/>
      </w:r>
      <w:r w:rsidRPr="3C049DC4">
        <w:rPr>
          <w:rFonts w:ascii="Century Gothic" w:eastAsia="Century Gothic" w:hAnsi="Century Gothic" w:cs="Century Gothic"/>
          <w:color w:val="1F3864" w:themeColor="accent5" w:themeShade="80"/>
          <w:sz w:val="22"/>
          <w:szCs w:val="22"/>
        </w:rPr>
        <w:t xml:space="preserve">they can demonstrate/evidence that </w:t>
      </w:r>
      <w:r w:rsidR="41D3CD98"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has deviated from its own policy, procedures and practice; or</w:t>
      </w:r>
    </w:p>
    <w:p w14:paraId="374FE6E1" w14:textId="2C854461" w:rsidR="00EF07F5" w:rsidRDefault="00EF07F5" w:rsidP="3C049DC4">
      <w:pPr>
        <w:pStyle w:val="Default"/>
        <w:spacing w:after="113"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(b) </w:t>
      </w:r>
      <w:r>
        <w:tab/>
      </w:r>
      <w:r w:rsidRPr="3C049DC4">
        <w:rPr>
          <w:rFonts w:ascii="Century Gothic" w:eastAsia="Century Gothic" w:hAnsi="Century Gothic" w:cs="Century Gothic"/>
          <w:color w:val="1F3864" w:themeColor="accent5" w:themeShade="80"/>
          <w:sz w:val="22"/>
          <w:szCs w:val="22"/>
        </w:rPr>
        <w:t xml:space="preserve">further information, which was not available at the time of application, is presented to </w:t>
      </w:r>
      <w:r w:rsidR="230AA3DA"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or</w:t>
      </w:r>
    </w:p>
    <w:p w14:paraId="0F591FA8" w14:textId="77777777" w:rsidR="00EF07F5" w:rsidRDefault="00EF07F5" w:rsidP="3C049DC4">
      <w:pPr>
        <w:pStyle w:val="Default"/>
        <w:spacing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(c) </w:t>
      </w:r>
      <w:r>
        <w:tab/>
      </w:r>
      <w:r w:rsidRPr="3C049DC4">
        <w:rPr>
          <w:rFonts w:ascii="Century Gothic" w:eastAsia="Century Gothic" w:hAnsi="Century Gothic" w:cs="Century Gothic"/>
          <w:color w:val="1F3864" w:themeColor="accent5" w:themeShade="80"/>
          <w:sz w:val="22"/>
          <w:szCs w:val="22"/>
        </w:rPr>
        <w:t>there is a perception or indication that the prospective student has been treated differently to another applicant in a similar situation.</w:t>
      </w:r>
    </w:p>
    <w:p w14:paraId="6920224E"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10D105F9" w14:textId="03B3B75D"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The high level of competition for some programmes means that it is unavoidable that </w:t>
      </w:r>
      <w:r w:rsidR="20E4267D"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will disappoint some prospective students with a selection decision. It should be noted that prospective students have no right of appeal against decisions that are based on the academic or professional judgement of </w:t>
      </w:r>
      <w:r w:rsidR="1E19981D"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about suitability for admission. For example, academic judgement may be used to determine the suitability of prior learning (accredited or otherwise) for entry in lieu of formal qualifications, or an assessment of the suitability of subject knowledge from less traditional qualifications. </w:t>
      </w:r>
    </w:p>
    <w:p w14:paraId="26EC79E6"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590D23ED"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r>
        <w:rPr>
          <w:b/>
          <w:sz w:val="22"/>
          <w:szCs w:val="22"/>
        </w:rPr>
        <w:tab/>
      </w:r>
      <w:r w:rsidRPr="3C049DC4">
        <w:rPr>
          <w:rFonts w:ascii="Century Gothic" w:eastAsia="Century Gothic" w:hAnsi="Century Gothic" w:cs="Century Gothic"/>
          <w:b/>
          <w:bCs/>
          <w:color w:val="1F3864" w:themeColor="accent5" w:themeShade="80"/>
          <w:sz w:val="22"/>
          <w:szCs w:val="22"/>
        </w:rPr>
        <w:t xml:space="preserve">Procedure for Submitting an Appeal </w:t>
      </w:r>
    </w:p>
    <w:p w14:paraId="68281DDA"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660E1D78" w14:textId="6D375BC7" w:rsidR="00EF07F5" w:rsidRDefault="51367437"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b/>
          <w:bCs/>
          <w:color w:val="1F3864" w:themeColor="accent5" w:themeShade="80"/>
          <w:sz w:val="22"/>
          <w:szCs w:val="22"/>
        </w:rPr>
        <w:lastRenderedPageBreak/>
        <w:t xml:space="preserve">Stage 1: </w:t>
      </w:r>
      <w:r w:rsidRPr="3C049DC4">
        <w:rPr>
          <w:rFonts w:ascii="Century Gothic" w:eastAsia="Century Gothic" w:hAnsi="Century Gothic" w:cs="Century Gothic"/>
          <w:color w:val="1F3864" w:themeColor="accent5" w:themeShade="80"/>
          <w:sz w:val="22"/>
          <w:szCs w:val="22"/>
        </w:rPr>
        <w:t xml:space="preserve">request for feedback or clarification: Before submitting an appeal a prospective student should normally contact </w:t>
      </w:r>
      <w:r w:rsidR="676B6B7A" w:rsidRPr="3C049DC4">
        <w:rPr>
          <w:rFonts w:ascii="Century Gothic" w:eastAsia="Century Gothic" w:hAnsi="Century Gothic" w:cs="Century Gothic"/>
          <w:color w:val="1F3864" w:themeColor="accent5" w:themeShade="80"/>
          <w:sz w:val="22"/>
          <w:szCs w:val="22"/>
        </w:rPr>
        <w:t>t</w:t>
      </w:r>
      <w:r w:rsidRPr="3C049DC4">
        <w:rPr>
          <w:rFonts w:ascii="Century Gothic" w:eastAsia="Century Gothic" w:hAnsi="Century Gothic" w:cs="Century Gothic"/>
          <w:color w:val="1F3864" w:themeColor="accent5" w:themeShade="80"/>
          <w:sz w:val="22"/>
          <w:szCs w:val="22"/>
        </w:rPr>
        <w:t xml:space="preserve">he Admissions Team by telephone or in writing (email is accepted), to request feedback or to discuss their concerns. </w:t>
      </w:r>
    </w:p>
    <w:p w14:paraId="468D664D"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399A6C6B" w14:textId="77777777" w:rsidR="00EF07F5" w:rsidRDefault="00EF07F5" w:rsidP="3C049DC4">
      <w:pPr>
        <w:pStyle w:val="Default"/>
        <w:spacing w:line="360" w:lineRule="auto"/>
        <w:ind w:left="737"/>
        <w:rPr>
          <w:rFonts w:ascii="Century Gothic" w:eastAsia="Century Gothic" w:hAnsi="Century Gothic" w:cs="Century Gothic"/>
          <w:color w:val="1F3864" w:themeColor="accent5" w:themeShade="80"/>
          <w:sz w:val="22"/>
          <w:szCs w:val="22"/>
        </w:rPr>
      </w:pPr>
      <w:r w:rsidRPr="19175A7C">
        <w:rPr>
          <w:rFonts w:ascii="Century Gothic" w:eastAsia="Century Gothic" w:hAnsi="Century Gothic" w:cs="Century Gothic"/>
          <w:b/>
          <w:bCs/>
          <w:color w:val="1F3864" w:themeColor="accent5" w:themeShade="80"/>
          <w:sz w:val="22"/>
          <w:szCs w:val="22"/>
        </w:rPr>
        <w:t xml:space="preserve">Stage 2: </w:t>
      </w:r>
      <w:r w:rsidRPr="19175A7C">
        <w:rPr>
          <w:rFonts w:ascii="Century Gothic" w:eastAsia="Century Gothic" w:hAnsi="Century Gothic" w:cs="Century Gothic"/>
          <w:color w:val="1F3864" w:themeColor="accent5" w:themeShade="80"/>
          <w:sz w:val="22"/>
          <w:szCs w:val="22"/>
        </w:rPr>
        <w:t xml:space="preserve">Before submitting an appeal the prospective student should ensure that they have read the grounds outlined above. An appeal should be submitted in writing to the Director of Services for Students, Admissions, Derby College Group, The Roundhouse, Roundhouse Road, Pride Park, Derby, DE24 8JE. Alternatively, appeals can be emailed via </w:t>
      </w:r>
      <w:hyperlink r:id="rId19">
        <w:r w:rsidRPr="19175A7C">
          <w:rPr>
            <w:rStyle w:val="Hyperlink"/>
            <w:rFonts w:ascii="Century Gothic" w:eastAsia="Century Gothic" w:hAnsi="Century Gothic" w:cs="Century Gothic"/>
            <w:color w:val="0070C0"/>
            <w:sz w:val="22"/>
            <w:szCs w:val="22"/>
          </w:rPr>
          <w:t>https://intouch.derby-college.ac.uk/Forms/Enquiry</w:t>
        </w:r>
      </w:hyperlink>
      <w:r w:rsidRPr="19175A7C">
        <w:rPr>
          <w:rFonts w:ascii="Century Gothic" w:eastAsia="Century Gothic" w:hAnsi="Century Gothic" w:cs="Century Gothic"/>
          <w:color w:val="0070C0"/>
          <w:sz w:val="22"/>
          <w:szCs w:val="22"/>
        </w:rPr>
        <w:t>.</w:t>
      </w:r>
      <w:r w:rsidRPr="19175A7C">
        <w:rPr>
          <w:rFonts w:ascii="Century Gothic" w:eastAsia="Century Gothic" w:hAnsi="Century Gothic" w:cs="Century Gothic"/>
          <w:color w:val="1F3864" w:themeColor="accent5" w:themeShade="80"/>
          <w:sz w:val="22"/>
          <w:szCs w:val="22"/>
        </w:rPr>
        <w:t xml:space="preserve"> An appeal must be submitted within four weeks of the date of the original decision. </w:t>
      </w:r>
    </w:p>
    <w:p w14:paraId="743E138B" w14:textId="77777777" w:rsidR="00EF07F5" w:rsidRDefault="00EF07F5" w:rsidP="3C049DC4">
      <w:pPr>
        <w:pStyle w:val="Default"/>
        <w:spacing w:line="360" w:lineRule="auto"/>
        <w:ind w:left="737"/>
        <w:rPr>
          <w:rFonts w:ascii="Century Gothic" w:eastAsia="Century Gothic" w:hAnsi="Century Gothic" w:cs="Century Gothic"/>
          <w:color w:val="1F3864" w:themeColor="accent5" w:themeShade="80"/>
          <w:sz w:val="22"/>
          <w:szCs w:val="22"/>
        </w:rPr>
      </w:pPr>
    </w:p>
    <w:p w14:paraId="0C80B110" w14:textId="5454D9EB" w:rsidR="00EF07F5" w:rsidRDefault="00EF07F5" w:rsidP="3C049DC4">
      <w:pPr>
        <w:pStyle w:val="Default"/>
        <w:spacing w:line="360" w:lineRule="auto"/>
        <w:ind w:left="737"/>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b/>
          <w:bCs/>
          <w:color w:val="1F3864" w:themeColor="accent5" w:themeShade="80"/>
          <w:sz w:val="22"/>
          <w:szCs w:val="22"/>
        </w:rPr>
        <w:t xml:space="preserve">Stage 3: </w:t>
      </w:r>
      <w:r w:rsidRPr="3C049DC4">
        <w:rPr>
          <w:rFonts w:ascii="Century Gothic" w:eastAsia="Century Gothic" w:hAnsi="Century Gothic" w:cs="Century Gothic"/>
          <w:color w:val="1F3864" w:themeColor="accent5" w:themeShade="80"/>
          <w:sz w:val="22"/>
          <w:szCs w:val="22"/>
        </w:rPr>
        <w:t xml:space="preserve">Where the prospective student remains dissatisfied with the outcome at stage 2, the prospective student may request a review of the Stage 2 decision. The prospective student must provide clear reasons/evidence for requesting a review (for example, evidencing that information had not been in taken into account at stage 2). The outcome of Stage 3 will be considered final and therefore the prospective student is unable to take the matter further with </w:t>
      </w:r>
      <w:r w:rsidR="1E851F14"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A review can be requested in writing to The Higher Education and Higher -Level Skills Manager. Following the completion of Stage 3, if still dissatisfied with the outcome, the student has the right to appeal to: </w:t>
      </w:r>
    </w:p>
    <w:p w14:paraId="27C979B4" w14:textId="77777777" w:rsidR="00EF07F5" w:rsidRDefault="00EF07F5" w:rsidP="3C049DC4">
      <w:pPr>
        <w:widowControl w:val="0"/>
        <w:numPr>
          <w:ilvl w:val="0"/>
          <w:numId w:val="17"/>
        </w:numPr>
        <w:suppressAutoHyphens/>
        <w:spacing w:line="360" w:lineRule="auto"/>
        <w:ind w:right="340"/>
        <w:rPr>
          <w:rFonts w:ascii="Century Gothic" w:eastAsia="Century Gothic" w:hAnsi="Century Gothic" w:cs="Century Gothic"/>
          <w:color w:val="1F3864" w:themeColor="accent5" w:themeShade="80"/>
        </w:rPr>
      </w:pPr>
      <w:r w:rsidRPr="3C049DC4">
        <w:rPr>
          <w:rFonts w:ascii="Century Gothic" w:eastAsia="Century Gothic" w:hAnsi="Century Gothic" w:cs="Century Gothic"/>
          <w:color w:val="1F3864" w:themeColor="accent5" w:themeShade="80"/>
        </w:rPr>
        <w:t xml:space="preserve">Office of the Independent Adjudicator (OIA), Second Floor, Abbey Gate, 57-75 Kings Road Reading RG1 3AB. </w:t>
      </w:r>
    </w:p>
    <w:p w14:paraId="774EA529" w14:textId="77777777" w:rsidR="00EF07F5" w:rsidRDefault="00EF07F5" w:rsidP="3C049DC4">
      <w:pPr>
        <w:pStyle w:val="Default"/>
        <w:spacing w:line="360" w:lineRule="auto"/>
        <w:ind w:left="737"/>
        <w:rPr>
          <w:rFonts w:ascii="Century Gothic" w:eastAsia="Century Gothic" w:hAnsi="Century Gothic" w:cs="Century Gothic"/>
          <w:color w:val="1F3864" w:themeColor="accent5" w:themeShade="80"/>
          <w:sz w:val="22"/>
          <w:szCs w:val="22"/>
        </w:rPr>
      </w:pPr>
    </w:p>
    <w:p w14:paraId="1F230DA2"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As a minimum guideline an Appeal (Stage 2) should include the following information:</w:t>
      </w:r>
    </w:p>
    <w:p w14:paraId="1ECEBD85"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7C495D99" w14:textId="056F38B6" w:rsidR="00EF07F5" w:rsidRDefault="00EF07F5" w:rsidP="3C049DC4">
      <w:pPr>
        <w:pStyle w:val="Default"/>
        <w:spacing w:after="113"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a. </w:t>
      </w:r>
      <w:r>
        <w:tab/>
      </w:r>
      <w:r w:rsidRPr="3C049DC4">
        <w:rPr>
          <w:rFonts w:ascii="Century Gothic" w:eastAsia="Century Gothic" w:hAnsi="Century Gothic" w:cs="Century Gothic"/>
          <w:color w:val="1F3864" w:themeColor="accent5" w:themeShade="80"/>
          <w:sz w:val="22"/>
          <w:szCs w:val="22"/>
        </w:rPr>
        <w:t xml:space="preserve">Prospective student name and any relevant application reference numbers provided either by </w:t>
      </w:r>
      <w:r w:rsidR="1E851F14"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or third parties such as UCAS;</w:t>
      </w:r>
    </w:p>
    <w:p w14:paraId="25989EF6" w14:textId="77777777" w:rsidR="00EF07F5" w:rsidRDefault="00EF07F5" w:rsidP="3C049DC4">
      <w:pPr>
        <w:pStyle w:val="Default"/>
        <w:spacing w:after="113"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b. </w:t>
      </w:r>
      <w:r>
        <w:tab/>
      </w:r>
      <w:r w:rsidRPr="3C049DC4">
        <w:rPr>
          <w:rFonts w:ascii="Century Gothic" w:eastAsia="Century Gothic" w:hAnsi="Century Gothic" w:cs="Century Gothic"/>
          <w:color w:val="1F3864" w:themeColor="accent5" w:themeShade="80"/>
          <w:sz w:val="22"/>
          <w:szCs w:val="22"/>
        </w:rPr>
        <w:t>Contact details;</w:t>
      </w:r>
    </w:p>
    <w:p w14:paraId="6B16F7E4" w14:textId="77777777" w:rsidR="00EF07F5" w:rsidRDefault="00EF07F5" w:rsidP="3C049DC4">
      <w:pPr>
        <w:pStyle w:val="Default"/>
        <w:spacing w:after="113"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c. </w:t>
      </w:r>
      <w:r>
        <w:tab/>
      </w:r>
      <w:r w:rsidRPr="3C049DC4">
        <w:rPr>
          <w:rFonts w:ascii="Century Gothic" w:eastAsia="Century Gothic" w:hAnsi="Century Gothic" w:cs="Century Gothic"/>
          <w:color w:val="1F3864" w:themeColor="accent5" w:themeShade="80"/>
          <w:sz w:val="22"/>
          <w:szCs w:val="22"/>
        </w:rPr>
        <w:t>Details of the grounds for the appeal;</w:t>
      </w:r>
    </w:p>
    <w:p w14:paraId="6B30CC54" w14:textId="77777777" w:rsidR="00EF07F5" w:rsidRDefault="00EF07F5" w:rsidP="3C049DC4">
      <w:pPr>
        <w:pStyle w:val="Default"/>
        <w:spacing w:line="360" w:lineRule="auto"/>
        <w:ind w:left="1247" w:right="340" w:hanging="510"/>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d. </w:t>
      </w:r>
      <w:r>
        <w:tab/>
      </w:r>
      <w:r w:rsidRPr="3C049DC4">
        <w:rPr>
          <w:rFonts w:ascii="Century Gothic" w:eastAsia="Century Gothic" w:hAnsi="Century Gothic" w:cs="Century Gothic"/>
          <w:color w:val="1F3864" w:themeColor="accent5" w:themeShade="80"/>
          <w:sz w:val="22"/>
          <w:szCs w:val="22"/>
        </w:rPr>
        <w:t xml:space="preserve">Any further information that the prospective student feels relevant to their case. </w:t>
      </w:r>
    </w:p>
    <w:p w14:paraId="4A1B9EF0" w14:textId="77777777" w:rsidR="00EF07F5" w:rsidRDefault="00EF07F5" w:rsidP="3C049DC4">
      <w:pPr>
        <w:pStyle w:val="Default"/>
        <w:spacing w:line="360" w:lineRule="auto"/>
        <w:rPr>
          <w:rFonts w:ascii="Century Gothic" w:eastAsia="Century Gothic" w:hAnsi="Century Gothic" w:cs="Century Gothic"/>
          <w:color w:val="1F3864" w:themeColor="accent5" w:themeShade="80"/>
          <w:sz w:val="22"/>
          <w:szCs w:val="22"/>
        </w:rPr>
      </w:pPr>
    </w:p>
    <w:p w14:paraId="20AD30BC" w14:textId="77777777"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An acknowledgement of an appeal (Stage 2) or review of an appeal (Stage </w:t>
      </w:r>
      <w:r w:rsidRPr="3C049DC4">
        <w:rPr>
          <w:rFonts w:ascii="Century Gothic" w:eastAsia="Century Gothic" w:hAnsi="Century Gothic" w:cs="Century Gothic"/>
          <w:color w:val="1F3864" w:themeColor="accent5" w:themeShade="80"/>
          <w:sz w:val="22"/>
          <w:szCs w:val="22"/>
        </w:rPr>
        <w:lastRenderedPageBreak/>
        <w:t>3) will normally be made within five working days. The Admissions Manager or their nominee, will investigate in conjunction with any relevant Department(s) and the outcome will be communicated within 10 working days from acknowledgement. If for any reason these timescales for response cannot be met, the prospective student will be updated of expected timescales within the 10 working days from acknowledgement.</w:t>
      </w:r>
    </w:p>
    <w:p w14:paraId="2F336414" w14:textId="77777777" w:rsidR="00EF07F5" w:rsidRDefault="00EF07F5" w:rsidP="3C049DC4">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61932D8D" w14:textId="17D3D7EF" w:rsidR="00EF07F5"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Where the appeal relates to a selection decision, and is upheld, </w:t>
      </w:r>
      <w:r w:rsidR="3D9B8A7F" w:rsidRPr="3C049DC4">
        <w:rPr>
          <w:rFonts w:ascii="Century Gothic" w:eastAsia="Century Gothic" w:hAnsi="Century Gothic" w:cs="Century Gothic"/>
          <w:color w:val="1F3864" w:themeColor="accent5" w:themeShade="80"/>
          <w:sz w:val="22"/>
          <w:szCs w:val="22"/>
        </w:rPr>
        <w:t>DCG</w:t>
      </w:r>
      <w:r w:rsidRPr="3C049DC4">
        <w:rPr>
          <w:rFonts w:ascii="Century Gothic" w:eastAsia="Century Gothic" w:hAnsi="Century Gothic" w:cs="Century Gothic"/>
          <w:color w:val="1F3864" w:themeColor="accent5" w:themeShade="80"/>
          <w:sz w:val="22"/>
          <w:szCs w:val="22"/>
        </w:rPr>
        <w:t xml:space="preserve"> cannot guarantee admissions to the academic year initially requested, however where possible an alternative point of entry may be offered. </w:t>
      </w:r>
    </w:p>
    <w:p w14:paraId="664775B4" w14:textId="380FB672" w:rsidR="00EF07F5" w:rsidRDefault="00EF07F5" w:rsidP="3C049DC4">
      <w:pPr>
        <w:pStyle w:val="ListParagraph"/>
        <w:numPr>
          <w:ilvl w:val="0"/>
          <w:numId w:val="10"/>
        </w:numPr>
        <w:spacing w:before="240" w:after="240" w:line="360" w:lineRule="auto"/>
        <w:ind w:left="709" w:hanging="695"/>
        <w:rPr>
          <w:rFonts w:ascii="Century Gothic" w:eastAsia="Century Gothic" w:hAnsi="Century Gothic" w:cs="Century Gothic"/>
          <w:b/>
          <w:bCs/>
          <w:color w:val="1F3864" w:themeColor="accent5" w:themeShade="80"/>
          <w:sz w:val="28"/>
          <w:szCs w:val="28"/>
        </w:rPr>
      </w:pPr>
      <w:r w:rsidRPr="3C049DC4">
        <w:rPr>
          <w:rFonts w:ascii="Century Gothic" w:eastAsia="Century Gothic" w:hAnsi="Century Gothic" w:cs="Century Gothic"/>
          <w:b/>
          <w:bCs/>
          <w:color w:val="1F3864" w:themeColor="accent5" w:themeShade="80"/>
          <w:sz w:val="28"/>
          <w:szCs w:val="28"/>
        </w:rPr>
        <w:t>T</w:t>
      </w:r>
      <w:r w:rsidR="725D8E24" w:rsidRPr="3C049DC4">
        <w:rPr>
          <w:rFonts w:ascii="Century Gothic" w:eastAsia="Century Gothic" w:hAnsi="Century Gothic" w:cs="Century Gothic"/>
          <w:b/>
          <w:bCs/>
          <w:color w:val="1F3864" w:themeColor="accent5" w:themeShade="80"/>
          <w:sz w:val="28"/>
          <w:szCs w:val="28"/>
        </w:rPr>
        <w:t xml:space="preserve">emplates </w:t>
      </w:r>
      <w:r w:rsidRPr="3C049DC4">
        <w:rPr>
          <w:rFonts w:ascii="Century Gothic" w:eastAsia="Century Gothic" w:hAnsi="Century Gothic" w:cs="Century Gothic"/>
          <w:b/>
          <w:bCs/>
          <w:color w:val="1F3864" w:themeColor="accent5" w:themeShade="80"/>
          <w:sz w:val="28"/>
          <w:szCs w:val="28"/>
        </w:rPr>
        <w:t>/</w:t>
      </w:r>
      <w:r w:rsidR="59D23DE9" w:rsidRPr="3C049DC4">
        <w:rPr>
          <w:rFonts w:ascii="Century Gothic" w:eastAsia="Century Gothic" w:hAnsi="Century Gothic" w:cs="Century Gothic"/>
          <w:b/>
          <w:bCs/>
          <w:color w:val="1F3864" w:themeColor="accent5" w:themeShade="80"/>
          <w:sz w:val="28"/>
          <w:szCs w:val="28"/>
        </w:rPr>
        <w:t xml:space="preserve"> </w:t>
      </w:r>
      <w:r w:rsidRPr="3C049DC4">
        <w:rPr>
          <w:rFonts w:ascii="Century Gothic" w:eastAsia="Century Gothic" w:hAnsi="Century Gothic" w:cs="Century Gothic"/>
          <w:b/>
          <w:bCs/>
          <w:color w:val="1F3864" w:themeColor="accent5" w:themeShade="80"/>
          <w:sz w:val="28"/>
          <w:szCs w:val="28"/>
        </w:rPr>
        <w:t>F</w:t>
      </w:r>
      <w:r w:rsidR="420389AF" w:rsidRPr="3C049DC4">
        <w:rPr>
          <w:rFonts w:ascii="Century Gothic" w:eastAsia="Century Gothic" w:hAnsi="Century Gothic" w:cs="Century Gothic"/>
          <w:b/>
          <w:bCs/>
          <w:color w:val="1F3864" w:themeColor="accent5" w:themeShade="80"/>
          <w:sz w:val="28"/>
          <w:szCs w:val="28"/>
        </w:rPr>
        <w:t>orms</w:t>
      </w:r>
    </w:p>
    <w:p w14:paraId="5E7B616A" w14:textId="77777777" w:rsidR="00EF07F5" w:rsidRPr="00237C27" w:rsidRDefault="00EF07F5" w:rsidP="3C049DC4">
      <w:pPr>
        <w:spacing w:before="240" w:after="240" w:line="360" w:lineRule="auto"/>
        <w:rPr>
          <w:rFonts w:ascii="Century Gothic" w:eastAsia="Century Gothic" w:hAnsi="Century Gothic" w:cs="Century Gothic"/>
          <w:color w:val="1F3864" w:themeColor="accent5" w:themeShade="80"/>
          <w:sz w:val="20"/>
        </w:rPr>
      </w:pPr>
      <w:r w:rsidRPr="3C049DC4">
        <w:rPr>
          <w:rFonts w:ascii="Century Gothic" w:eastAsia="Century Gothic" w:hAnsi="Century Gothic" w:cs="Century Gothic"/>
          <w:color w:val="1F3864" w:themeColor="accent5" w:themeShade="80"/>
          <w:sz w:val="20"/>
        </w:rPr>
        <w:t>N/A</w:t>
      </w:r>
    </w:p>
    <w:p w14:paraId="3E551658" w14:textId="7DE7E86D" w:rsidR="00EF07F5" w:rsidRDefault="00EF07F5" w:rsidP="3C049DC4">
      <w:pPr>
        <w:pStyle w:val="ListParagraph"/>
        <w:numPr>
          <w:ilvl w:val="0"/>
          <w:numId w:val="10"/>
        </w:numPr>
        <w:spacing w:before="240" w:after="240" w:line="360" w:lineRule="auto"/>
        <w:ind w:left="709" w:hanging="695"/>
        <w:rPr>
          <w:rFonts w:ascii="Century Gothic" w:eastAsia="Century Gothic" w:hAnsi="Century Gothic" w:cs="Century Gothic"/>
          <w:b/>
          <w:bCs/>
          <w:color w:val="1F3864" w:themeColor="accent5" w:themeShade="80"/>
          <w:sz w:val="28"/>
          <w:szCs w:val="28"/>
        </w:rPr>
      </w:pPr>
      <w:r w:rsidRPr="3C049DC4">
        <w:rPr>
          <w:rFonts w:ascii="Century Gothic" w:eastAsia="Century Gothic" w:hAnsi="Century Gothic" w:cs="Century Gothic"/>
          <w:b/>
          <w:bCs/>
          <w:color w:val="1F3864" w:themeColor="accent5" w:themeShade="80"/>
          <w:sz w:val="28"/>
          <w:szCs w:val="28"/>
        </w:rPr>
        <w:t>R</w:t>
      </w:r>
      <w:r w:rsidR="10763438" w:rsidRPr="3C049DC4">
        <w:rPr>
          <w:rFonts w:ascii="Century Gothic" w:eastAsia="Century Gothic" w:hAnsi="Century Gothic" w:cs="Century Gothic"/>
          <w:b/>
          <w:bCs/>
          <w:color w:val="1F3864" w:themeColor="accent5" w:themeShade="80"/>
          <w:sz w:val="28"/>
          <w:szCs w:val="28"/>
        </w:rPr>
        <w:t>elated</w:t>
      </w:r>
      <w:r w:rsidRPr="3C049DC4">
        <w:rPr>
          <w:rFonts w:ascii="Century Gothic" w:eastAsia="Century Gothic" w:hAnsi="Century Gothic" w:cs="Century Gothic"/>
          <w:b/>
          <w:bCs/>
          <w:color w:val="1F3864" w:themeColor="accent5" w:themeShade="80"/>
          <w:sz w:val="28"/>
          <w:szCs w:val="28"/>
        </w:rPr>
        <w:t xml:space="preserve"> D</w:t>
      </w:r>
      <w:r w:rsidR="04CD43EA" w:rsidRPr="3C049DC4">
        <w:rPr>
          <w:rFonts w:ascii="Century Gothic" w:eastAsia="Century Gothic" w:hAnsi="Century Gothic" w:cs="Century Gothic"/>
          <w:b/>
          <w:bCs/>
          <w:color w:val="1F3864" w:themeColor="accent5" w:themeShade="80"/>
          <w:sz w:val="28"/>
          <w:szCs w:val="28"/>
        </w:rPr>
        <w:t>ocuments</w:t>
      </w:r>
    </w:p>
    <w:p w14:paraId="61470AF4" w14:textId="77777777" w:rsidR="00EF07F5" w:rsidRPr="00A72CD1" w:rsidRDefault="00EF07F5" w:rsidP="3C049DC4">
      <w:pPr>
        <w:pStyle w:val="Default"/>
        <w:numPr>
          <w:ilvl w:val="1"/>
          <w:numId w:val="10"/>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 This policy should be read in conjunction with the following documents:</w:t>
      </w:r>
    </w:p>
    <w:p w14:paraId="7D7C1C70" w14:textId="77777777" w:rsidR="00EF07F5" w:rsidRDefault="00EF07F5" w:rsidP="3C049DC4">
      <w:pPr>
        <w:pStyle w:val="Default"/>
        <w:numPr>
          <w:ilvl w:val="0"/>
          <w:numId w:val="18"/>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Enrolment and Registration Policy (Higher Education)</w:t>
      </w:r>
    </w:p>
    <w:p w14:paraId="1D5BE0D0" w14:textId="77777777" w:rsidR="00EF07F5" w:rsidRPr="00A72CD1" w:rsidRDefault="00EF07F5" w:rsidP="3C049DC4">
      <w:pPr>
        <w:pStyle w:val="Default"/>
        <w:numPr>
          <w:ilvl w:val="0"/>
          <w:numId w:val="18"/>
        </w:numPr>
        <w:spacing w:line="360" w:lineRule="auto"/>
        <w:rPr>
          <w:rFonts w:ascii="Century Gothic" w:eastAsia="Century Gothic" w:hAnsi="Century Gothic" w:cs="Century Gothic"/>
          <w:color w:val="1F3864" w:themeColor="accent5" w:themeShade="80"/>
          <w:sz w:val="22"/>
          <w:szCs w:val="22"/>
        </w:rPr>
      </w:pPr>
      <w:r w:rsidRPr="3C049DC4">
        <w:rPr>
          <w:rFonts w:ascii="Century Gothic" w:eastAsia="Century Gothic" w:hAnsi="Century Gothic" w:cs="Century Gothic"/>
          <w:color w:val="1F3864" w:themeColor="accent5" w:themeShade="80"/>
          <w:sz w:val="22"/>
          <w:szCs w:val="22"/>
        </w:rPr>
        <w:t xml:space="preserve">Student Criminal Convictions Policy </w:t>
      </w:r>
    </w:p>
    <w:p w14:paraId="45513FD3" w14:textId="3F6F06FA" w:rsidR="7A32DC49" w:rsidRDefault="7A32DC49" w:rsidP="3C049DC4">
      <w:pPr>
        <w:pStyle w:val="Default"/>
        <w:spacing w:line="360" w:lineRule="auto"/>
        <w:rPr>
          <w:rFonts w:ascii="Century Gothic" w:eastAsia="Century Gothic" w:hAnsi="Century Gothic" w:cs="Century Gothic"/>
          <w:color w:val="1F3864" w:themeColor="accent5" w:themeShade="80"/>
        </w:rPr>
      </w:pPr>
    </w:p>
    <w:p w14:paraId="68CC433B" w14:textId="77777777" w:rsidR="00EF07F5" w:rsidRPr="0044758F" w:rsidRDefault="00EF07F5" w:rsidP="3C049DC4">
      <w:pPr>
        <w:spacing w:before="240" w:after="240" w:line="360" w:lineRule="auto"/>
        <w:rPr>
          <w:rFonts w:ascii="Century Gothic" w:eastAsia="Century Gothic" w:hAnsi="Century Gothic" w:cs="Century Gothic"/>
          <w:b/>
          <w:bCs/>
          <w:color w:val="1F3864" w:themeColor="accent5" w:themeShade="80"/>
          <w:sz w:val="28"/>
          <w:szCs w:val="28"/>
        </w:rPr>
      </w:pPr>
    </w:p>
    <w:p w14:paraId="347C0FD0" w14:textId="7F091927" w:rsidR="00F668CD" w:rsidRPr="00493C80" w:rsidRDefault="00F668CD" w:rsidP="3C049DC4">
      <w:pPr>
        <w:spacing w:line="360" w:lineRule="auto"/>
        <w:rPr>
          <w:rFonts w:ascii="Century Gothic" w:eastAsia="Century Gothic" w:hAnsi="Century Gothic" w:cs="Century Gothic"/>
          <w:color w:val="1F3864" w:themeColor="accent5" w:themeShade="80"/>
        </w:rPr>
      </w:pPr>
    </w:p>
    <w:sectPr w:rsidR="00F668CD" w:rsidRPr="00493C80" w:rsidSect="00C30874">
      <w:headerReference w:type="default" r:id="rId20"/>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8D01" w14:textId="77777777" w:rsidR="00B53ED1" w:rsidRDefault="00B53ED1">
      <w:r>
        <w:separator/>
      </w:r>
    </w:p>
  </w:endnote>
  <w:endnote w:type="continuationSeparator" w:id="0">
    <w:p w14:paraId="7CAE73A5" w14:textId="77777777" w:rsidR="00B53ED1" w:rsidRDefault="00B53ED1">
      <w:r>
        <w:continuationSeparator/>
      </w:r>
    </w:p>
  </w:endnote>
  <w:endnote w:type="continuationNotice" w:id="1">
    <w:p w14:paraId="0D92E228" w14:textId="77777777" w:rsidR="00B53ED1" w:rsidRDefault="00B53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F29F" w14:textId="77777777" w:rsidR="00B53ED1" w:rsidRDefault="00B53ED1">
      <w:r>
        <w:separator/>
      </w:r>
    </w:p>
  </w:footnote>
  <w:footnote w:type="continuationSeparator" w:id="0">
    <w:p w14:paraId="52797E3B" w14:textId="77777777" w:rsidR="00B53ED1" w:rsidRDefault="00B53ED1">
      <w:r>
        <w:continuationSeparator/>
      </w:r>
    </w:p>
  </w:footnote>
  <w:footnote w:type="continuationNotice" w:id="1">
    <w:p w14:paraId="2309C32D" w14:textId="77777777" w:rsidR="00B53ED1" w:rsidRDefault="00B53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trike w:val="0"/>
        <w:dstrike w:val="0"/>
        <w:color w:val="00000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10315292"/>
    <w:multiLevelType w:val="multilevel"/>
    <w:tmpl w:val="50BE147C"/>
    <w:lvl w:ilvl="0">
      <w:start w:val="1"/>
      <w:numFmt w:val="decimal"/>
      <w:lvlText w:val="%1."/>
      <w:lvlJc w:val="left"/>
      <w:pPr>
        <w:ind w:left="360" w:hanging="360"/>
      </w:pPr>
    </w:lvl>
    <w:lvl w:ilvl="1">
      <w:start w:val="1"/>
      <w:numFmt w:val="decimal"/>
      <w:lvlText w:val="%1.%2."/>
      <w:lvlJc w:val="left"/>
      <w:pPr>
        <w:ind w:left="574"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7" w15:restartNumberingAfterBreak="0">
    <w:nsid w:val="147571BF"/>
    <w:multiLevelType w:val="hybridMultilevel"/>
    <w:tmpl w:val="5F0845FE"/>
    <w:lvl w:ilvl="0" w:tplc="08090001">
      <w:start w:val="1"/>
      <w:numFmt w:val="bullet"/>
      <w:lvlText w:val=""/>
      <w:lvlJc w:val="left"/>
      <w:pPr>
        <w:ind w:left="1521" w:hanging="360"/>
      </w:pPr>
      <w:rPr>
        <w:rFonts w:ascii="Symbol" w:hAnsi="Symbol" w:hint="default"/>
      </w:rPr>
    </w:lvl>
    <w:lvl w:ilvl="1" w:tplc="08090003">
      <w:start w:val="1"/>
      <w:numFmt w:val="bullet"/>
      <w:lvlText w:val="o"/>
      <w:lvlJc w:val="left"/>
      <w:pPr>
        <w:ind w:left="2241" w:hanging="360"/>
      </w:pPr>
      <w:rPr>
        <w:rFonts w:ascii="Courier New" w:hAnsi="Courier New" w:cs="Courier New" w:hint="default"/>
      </w:rPr>
    </w:lvl>
    <w:lvl w:ilvl="2" w:tplc="08090005" w:tentative="1">
      <w:start w:val="1"/>
      <w:numFmt w:val="bullet"/>
      <w:lvlText w:val=""/>
      <w:lvlJc w:val="left"/>
      <w:pPr>
        <w:ind w:left="2961" w:hanging="360"/>
      </w:pPr>
      <w:rPr>
        <w:rFonts w:ascii="Wingdings" w:hAnsi="Wingdings" w:hint="default"/>
      </w:rPr>
    </w:lvl>
    <w:lvl w:ilvl="3" w:tplc="08090001" w:tentative="1">
      <w:start w:val="1"/>
      <w:numFmt w:val="bullet"/>
      <w:lvlText w:val=""/>
      <w:lvlJc w:val="left"/>
      <w:pPr>
        <w:ind w:left="3681" w:hanging="360"/>
      </w:pPr>
      <w:rPr>
        <w:rFonts w:ascii="Symbol" w:hAnsi="Symbol" w:hint="default"/>
      </w:rPr>
    </w:lvl>
    <w:lvl w:ilvl="4" w:tplc="08090003" w:tentative="1">
      <w:start w:val="1"/>
      <w:numFmt w:val="bullet"/>
      <w:lvlText w:val="o"/>
      <w:lvlJc w:val="left"/>
      <w:pPr>
        <w:ind w:left="4401" w:hanging="360"/>
      </w:pPr>
      <w:rPr>
        <w:rFonts w:ascii="Courier New" w:hAnsi="Courier New" w:cs="Courier New" w:hint="default"/>
      </w:rPr>
    </w:lvl>
    <w:lvl w:ilvl="5" w:tplc="08090005" w:tentative="1">
      <w:start w:val="1"/>
      <w:numFmt w:val="bullet"/>
      <w:lvlText w:val=""/>
      <w:lvlJc w:val="left"/>
      <w:pPr>
        <w:ind w:left="5121" w:hanging="360"/>
      </w:pPr>
      <w:rPr>
        <w:rFonts w:ascii="Wingdings" w:hAnsi="Wingdings" w:hint="default"/>
      </w:rPr>
    </w:lvl>
    <w:lvl w:ilvl="6" w:tplc="08090001" w:tentative="1">
      <w:start w:val="1"/>
      <w:numFmt w:val="bullet"/>
      <w:lvlText w:val=""/>
      <w:lvlJc w:val="left"/>
      <w:pPr>
        <w:ind w:left="5841" w:hanging="360"/>
      </w:pPr>
      <w:rPr>
        <w:rFonts w:ascii="Symbol" w:hAnsi="Symbol" w:hint="default"/>
      </w:rPr>
    </w:lvl>
    <w:lvl w:ilvl="7" w:tplc="08090003" w:tentative="1">
      <w:start w:val="1"/>
      <w:numFmt w:val="bullet"/>
      <w:lvlText w:val="o"/>
      <w:lvlJc w:val="left"/>
      <w:pPr>
        <w:ind w:left="6561" w:hanging="360"/>
      </w:pPr>
      <w:rPr>
        <w:rFonts w:ascii="Courier New" w:hAnsi="Courier New" w:cs="Courier New" w:hint="default"/>
      </w:rPr>
    </w:lvl>
    <w:lvl w:ilvl="8" w:tplc="08090005" w:tentative="1">
      <w:start w:val="1"/>
      <w:numFmt w:val="bullet"/>
      <w:lvlText w:val=""/>
      <w:lvlJc w:val="left"/>
      <w:pPr>
        <w:ind w:left="7281" w:hanging="360"/>
      </w:pPr>
      <w:rPr>
        <w:rFonts w:ascii="Wingdings" w:hAnsi="Wingdings" w:hint="default"/>
      </w:rPr>
    </w:lvl>
  </w:abstractNum>
  <w:abstractNum w:abstractNumId="8" w15:restartNumberingAfterBreak="0">
    <w:nsid w:val="242F494C"/>
    <w:multiLevelType w:val="multilevel"/>
    <w:tmpl w:val="16B233F2"/>
    <w:lvl w:ilvl="0">
      <w:start w:val="1"/>
      <w:numFmt w:val="decimal"/>
      <w:pStyle w:val="Heading1"/>
      <w:lvlText w:val="%1."/>
      <w:lvlJc w:val="left"/>
      <w:pPr>
        <w:ind w:left="1920" w:hanging="360"/>
      </w:pPr>
    </w:lvl>
    <w:lvl w:ilvl="1">
      <w:start w:val="4"/>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FC1081"/>
    <w:multiLevelType w:val="hybridMultilevel"/>
    <w:tmpl w:val="C104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05BFC"/>
    <w:multiLevelType w:val="hybridMultilevel"/>
    <w:tmpl w:val="265268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632B4A"/>
    <w:multiLevelType w:val="hybridMultilevel"/>
    <w:tmpl w:val="2038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740D53"/>
    <w:multiLevelType w:val="hybridMultilevel"/>
    <w:tmpl w:val="C3FAF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C0D88"/>
    <w:multiLevelType w:val="hybridMultilevel"/>
    <w:tmpl w:val="8B2A2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18"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B592A"/>
    <w:multiLevelType w:val="hybridMultilevel"/>
    <w:tmpl w:val="AD8204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3137069">
    <w:abstractNumId w:val="6"/>
  </w:num>
  <w:num w:numId="2" w16cid:durableId="244730244">
    <w:abstractNumId w:val="17"/>
  </w:num>
  <w:num w:numId="3" w16cid:durableId="738678358">
    <w:abstractNumId w:val="20"/>
  </w:num>
  <w:num w:numId="4" w16cid:durableId="1452239554">
    <w:abstractNumId w:val="10"/>
  </w:num>
  <w:num w:numId="5" w16cid:durableId="428238459">
    <w:abstractNumId w:val="11"/>
  </w:num>
  <w:num w:numId="6" w16cid:durableId="498467968">
    <w:abstractNumId w:val="8"/>
  </w:num>
  <w:num w:numId="7" w16cid:durableId="1806696547">
    <w:abstractNumId w:val="9"/>
  </w:num>
  <w:num w:numId="8" w16cid:durableId="2047945594">
    <w:abstractNumId w:val="18"/>
  </w:num>
  <w:num w:numId="9" w16cid:durableId="605962362">
    <w:abstractNumId w:val="8"/>
  </w:num>
  <w:num w:numId="10" w16cid:durableId="1105274547">
    <w:abstractNumId w:val="5"/>
  </w:num>
  <w:num w:numId="11" w16cid:durableId="1406803835">
    <w:abstractNumId w:val="1"/>
  </w:num>
  <w:num w:numId="12" w16cid:durableId="863634706">
    <w:abstractNumId w:val="2"/>
  </w:num>
  <w:num w:numId="13" w16cid:durableId="288509980">
    <w:abstractNumId w:val="3"/>
  </w:num>
  <w:num w:numId="14" w16cid:durableId="335114845">
    <w:abstractNumId w:val="0"/>
  </w:num>
  <w:num w:numId="15" w16cid:durableId="845053656">
    <w:abstractNumId w:val="14"/>
  </w:num>
  <w:num w:numId="16" w16cid:durableId="1312903122">
    <w:abstractNumId w:val="4"/>
  </w:num>
  <w:num w:numId="17" w16cid:durableId="2102022161">
    <w:abstractNumId w:val="7"/>
  </w:num>
  <w:num w:numId="18" w16cid:durableId="425543098">
    <w:abstractNumId w:val="12"/>
  </w:num>
  <w:num w:numId="19" w16cid:durableId="1799449132">
    <w:abstractNumId w:val="13"/>
  </w:num>
  <w:num w:numId="20" w16cid:durableId="2059626092">
    <w:abstractNumId w:val="15"/>
  </w:num>
  <w:num w:numId="21" w16cid:durableId="933242769">
    <w:abstractNumId w:val="16"/>
  </w:num>
  <w:num w:numId="22" w16cid:durableId="1947152602">
    <w:abstractNumId w:val="19"/>
  </w:num>
  <w:num w:numId="23" w16cid:durableId="199369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009A7"/>
    <w:rsid w:val="000016B3"/>
    <w:rsid w:val="000164CB"/>
    <w:rsid w:val="00042912"/>
    <w:rsid w:val="00047AC4"/>
    <w:rsid w:val="0005466E"/>
    <w:rsid w:val="00061F52"/>
    <w:rsid w:val="000638A5"/>
    <w:rsid w:val="00067783"/>
    <w:rsid w:val="000933FF"/>
    <w:rsid w:val="000A59B8"/>
    <w:rsid w:val="000B5F6F"/>
    <w:rsid w:val="000C71A3"/>
    <w:rsid w:val="000C76E4"/>
    <w:rsid w:val="001176C9"/>
    <w:rsid w:val="00121FD1"/>
    <w:rsid w:val="00124413"/>
    <w:rsid w:val="00127654"/>
    <w:rsid w:val="00134814"/>
    <w:rsid w:val="00143CD0"/>
    <w:rsid w:val="0014785A"/>
    <w:rsid w:val="001901CC"/>
    <w:rsid w:val="001953C1"/>
    <w:rsid w:val="001B5A47"/>
    <w:rsid w:val="001B7892"/>
    <w:rsid w:val="001C2D78"/>
    <w:rsid w:val="001C3EF2"/>
    <w:rsid w:val="001D23E5"/>
    <w:rsid w:val="001E03F3"/>
    <w:rsid w:val="001E382F"/>
    <w:rsid w:val="00202722"/>
    <w:rsid w:val="00207232"/>
    <w:rsid w:val="0021075B"/>
    <w:rsid w:val="00217519"/>
    <w:rsid w:val="0022683E"/>
    <w:rsid w:val="00226CDD"/>
    <w:rsid w:val="00227FBD"/>
    <w:rsid w:val="00244355"/>
    <w:rsid w:val="00261ED5"/>
    <w:rsid w:val="0028248F"/>
    <w:rsid w:val="00282647"/>
    <w:rsid w:val="00294C14"/>
    <w:rsid w:val="002A1AEE"/>
    <w:rsid w:val="002A5A35"/>
    <w:rsid w:val="002A70AC"/>
    <w:rsid w:val="002C6453"/>
    <w:rsid w:val="002E07FF"/>
    <w:rsid w:val="002E3724"/>
    <w:rsid w:val="002E6BEE"/>
    <w:rsid w:val="002F0FFE"/>
    <w:rsid w:val="002F53FE"/>
    <w:rsid w:val="00317A42"/>
    <w:rsid w:val="00335794"/>
    <w:rsid w:val="003361A4"/>
    <w:rsid w:val="00336CFF"/>
    <w:rsid w:val="00356E79"/>
    <w:rsid w:val="00357DF8"/>
    <w:rsid w:val="003706D1"/>
    <w:rsid w:val="0039465B"/>
    <w:rsid w:val="00396FD8"/>
    <w:rsid w:val="003D24FA"/>
    <w:rsid w:val="00402683"/>
    <w:rsid w:val="00406BA0"/>
    <w:rsid w:val="00412D4E"/>
    <w:rsid w:val="00420148"/>
    <w:rsid w:val="00427CE9"/>
    <w:rsid w:val="00437DC5"/>
    <w:rsid w:val="00441A6B"/>
    <w:rsid w:val="0045368C"/>
    <w:rsid w:val="00463F67"/>
    <w:rsid w:val="00468803"/>
    <w:rsid w:val="00486961"/>
    <w:rsid w:val="00493C80"/>
    <w:rsid w:val="004B38D6"/>
    <w:rsid w:val="004C69B6"/>
    <w:rsid w:val="004E44CF"/>
    <w:rsid w:val="004F20FB"/>
    <w:rsid w:val="004F608E"/>
    <w:rsid w:val="004F7C1D"/>
    <w:rsid w:val="005004BF"/>
    <w:rsid w:val="00523F44"/>
    <w:rsid w:val="0052585F"/>
    <w:rsid w:val="00547327"/>
    <w:rsid w:val="005711A8"/>
    <w:rsid w:val="005746F1"/>
    <w:rsid w:val="00586F5C"/>
    <w:rsid w:val="0059402C"/>
    <w:rsid w:val="005B5403"/>
    <w:rsid w:val="005C4A5E"/>
    <w:rsid w:val="005C5339"/>
    <w:rsid w:val="005D470D"/>
    <w:rsid w:val="00601E67"/>
    <w:rsid w:val="00611110"/>
    <w:rsid w:val="0061327D"/>
    <w:rsid w:val="0063755D"/>
    <w:rsid w:val="00642E9B"/>
    <w:rsid w:val="006504BC"/>
    <w:rsid w:val="0069443B"/>
    <w:rsid w:val="006A1FB1"/>
    <w:rsid w:val="006A7361"/>
    <w:rsid w:val="006A76D0"/>
    <w:rsid w:val="006F43BE"/>
    <w:rsid w:val="00723C2F"/>
    <w:rsid w:val="007330F4"/>
    <w:rsid w:val="007520B0"/>
    <w:rsid w:val="007672D1"/>
    <w:rsid w:val="00774420"/>
    <w:rsid w:val="00787818"/>
    <w:rsid w:val="0079309F"/>
    <w:rsid w:val="00795DD6"/>
    <w:rsid w:val="007D2474"/>
    <w:rsid w:val="007D5790"/>
    <w:rsid w:val="007E670C"/>
    <w:rsid w:val="007EA6D0"/>
    <w:rsid w:val="00844B64"/>
    <w:rsid w:val="008527A7"/>
    <w:rsid w:val="00876817"/>
    <w:rsid w:val="00883CA3"/>
    <w:rsid w:val="008B3C99"/>
    <w:rsid w:val="00912BC0"/>
    <w:rsid w:val="00921B39"/>
    <w:rsid w:val="00925F20"/>
    <w:rsid w:val="00926A4E"/>
    <w:rsid w:val="009363AF"/>
    <w:rsid w:val="00943425"/>
    <w:rsid w:val="00945B13"/>
    <w:rsid w:val="009542F2"/>
    <w:rsid w:val="0097443B"/>
    <w:rsid w:val="0098552B"/>
    <w:rsid w:val="009B3097"/>
    <w:rsid w:val="009C0A88"/>
    <w:rsid w:val="009D6E68"/>
    <w:rsid w:val="009E60E4"/>
    <w:rsid w:val="009E686F"/>
    <w:rsid w:val="00A0020B"/>
    <w:rsid w:val="00A02AE9"/>
    <w:rsid w:val="00A12CD3"/>
    <w:rsid w:val="00A408C1"/>
    <w:rsid w:val="00A524F0"/>
    <w:rsid w:val="00A65760"/>
    <w:rsid w:val="00A66AAA"/>
    <w:rsid w:val="00A721CF"/>
    <w:rsid w:val="00A87889"/>
    <w:rsid w:val="00A92B8B"/>
    <w:rsid w:val="00AA565D"/>
    <w:rsid w:val="00AB2899"/>
    <w:rsid w:val="00AC58F9"/>
    <w:rsid w:val="00AD414E"/>
    <w:rsid w:val="00AF1226"/>
    <w:rsid w:val="00AF45E6"/>
    <w:rsid w:val="00B46DF1"/>
    <w:rsid w:val="00B53ED1"/>
    <w:rsid w:val="00B53F59"/>
    <w:rsid w:val="00B603E2"/>
    <w:rsid w:val="00B8544C"/>
    <w:rsid w:val="00B92F73"/>
    <w:rsid w:val="00BA389C"/>
    <w:rsid w:val="00BB32E6"/>
    <w:rsid w:val="00BC54C5"/>
    <w:rsid w:val="00BD6EBD"/>
    <w:rsid w:val="00BE2C4F"/>
    <w:rsid w:val="00BE446C"/>
    <w:rsid w:val="00C01D41"/>
    <w:rsid w:val="00C122F7"/>
    <w:rsid w:val="00C2D231"/>
    <w:rsid w:val="00C30874"/>
    <w:rsid w:val="00C32AE6"/>
    <w:rsid w:val="00C353A7"/>
    <w:rsid w:val="00C43765"/>
    <w:rsid w:val="00C509DB"/>
    <w:rsid w:val="00C6409B"/>
    <w:rsid w:val="00C8079A"/>
    <w:rsid w:val="00C82D27"/>
    <w:rsid w:val="00CB4959"/>
    <w:rsid w:val="00CD7835"/>
    <w:rsid w:val="00CF374B"/>
    <w:rsid w:val="00CF67BA"/>
    <w:rsid w:val="00D011B3"/>
    <w:rsid w:val="00D042CE"/>
    <w:rsid w:val="00D1347C"/>
    <w:rsid w:val="00D13E59"/>
    <w:rsid w:val="00D22223"/>
    <w:rsid w:val="00D51DAD"/>
    <w:rsid w:val="00D718A6"/>
    <w:rsid w:val="00DB6462"/>
    <w:rsid w:val="00DC3D36"/>
    <w:rsid w:val="00DC5F11"/>
    <w:rsid w:val="00DF3750"/>
    <w:rsid w:val="00E14A5A"/>
    <w:rsid w:val="00E30315"/>
    <w:rsid w:val="00E40860"/>
    <w:rsid w:val="00E40DBF"/>
    <w:rsid w:val="00E42B55"/>
    <w:rsid w:val="00E61111"/>
    <w:rsid w:val="00E725DC"/>
    <w:rsid w:val="00E735B5"/>
    <w:rsid w:val="00E73C83"/>
    <w:rsid w:val="00E81F57"/>
    <w:rsid w:val="00E82844"/>
    <w:rsid w:val="00E8613F"/>
    <w:rsid w:val="00EB7065"/>
    <w:rsid w:val="00EC1818"/>
    <w:rsid w:val="00ED2035"/>
    <w:rsid w:val="00EF07F5"/>
    <w:rsid w:val="00F26655"/>
    <w:rsid w:val="00F27FB8"/>
    <w:rsid w:val="00F3575A"/>
    <w:rsid w:val="00F402D0"/>
    <w:rsid w:val="00F41168"/>
    <w:rsid w:val="00F61CA5"/>
    <w:rsid w:val="00F63C45"/>
    <w:rsid w:val="00F668CD"/>
    <w:rsid w:val="00F8383C"/>
    <w:rsid w:val="00F857DC"/>
    <w:rsid w:val="00F8623B"/>
    <w:rsid w:val="00F867B4"/>
    <w:rsid w:val="00F873BF"/>
    <w:rsid w:val="00F94243"/>
    <w:rsid w:val="00FA04F6"/>
    <w:rsid w:val="00FA56AE"/>
    <w:rsid w:val="00FB371C"/>
    <w:rsid w:val="00FB7DFF"/>
    <w:rsid w:val="00FC2CC1"/>
    <w:rsid w:val="00FC6E48"/>
    <w:rsid w:val="00FD0096"/>
    <w:rsid w:val="00FE1C35"/>
    <w:rsid w:val="00FE6047"/>
    <w:rsid w:val="00FF5427"/>
    <w:rsid w:val="0100E0A4"/>
    <w:rsid w:val="01862822"/>
    <w:rsid w:val="0435FBB4"/>
    <w:rsid w:val="04B8A31B"/>
    <w:rsid w:val="04CD43EA"/>
    <w:rsid w:val="05B1E219"/>
    <w:rsid w:val="0650D2EF"/>
    <w:rsid w:val="06B0B714"/>
    <w:rsid w:val="08593E7B"/>
    <w:rsid w:val="095463B3"/>
    <w:rsid w:val="0961B86D"/>
    <w:rsid w:val="099CCD5C"/>
    <w:rsid w:val="09A848E2"/>
    <w:rsid w:val="0A5E0D28"/>
    <w:rsid w:val="0BA87FD5"/>
    <w:rsid w:val="0BAD37A9"/>
    <w:rsid w:val="0C25DEEE"/>
    <w:rsid w:val="0C3800DE"/>
    <w:rsid w:val="0CD91D39"/>
    <w:rsid w:val="0D412AAB"/>
    <w:rsid w:val="0D8A1795"/>
    <w:rsid w:val="0DEA35C7"/>
    <w:rsid w:val="102AB45D"/>
    <w:rsid w:val="102B4530"/>
    <w:rsid w:val="10763438"/>
    <w:rsid w:val="10B36021"/>
    <w:rsid w:val="1147A100"/>
    <w:rsid w:val="11F2E7EF"/>
    <w:rsid w:val="1245AFFB"/>
    <w:rsid w:val="129AF79F"/>
    <w:rsid w:val="129E9742"/>
    <w:rsid w:val="1303D783"/>
    <w:rsid w:val="14F41AA3"/>
    <w:rsid w:val="14FD9785"/>
    <w:rsid w:val="15092774"/>
    <w:rsid w:val="1748A19A"/>
    <w:rsid w:val="176C7E02"/>
    <w:rsid w:val="177CD4F4"/>
    <w:rsid w:val="18A18A29"/>
    <w:rsid w:val="19175A7C"/>
    <w:rsid w:val="1A91A412"/>
    <w:rsid w:val="1AB6F484"/>
    <w:rsid w:val="1ADDF485"/>
    <w:rsid w:val="1D063F34"/>
    <w:rsid w:val="1D596B21"/>
    <w:rsid w:val="1D5B0F41"/>
    <w:rsid w:val="1DB9B88D"/>
    <w:rsid w:val="1E19981D"/>
    <w:rsid w:val="1E242F02"/>
    <w:rsid w:val="1E6B70AF"/>
    <w:rsid w:val="1E851F14"/>
    <w:rsid w:val="20E4267D"/>
    <w:rsid w:val="213E4AF1"/>
    <w:rsid w:val="215C5338"/>
    <w:rsid w:val="21ABB1FA"/>
    <w:rsid w:val="21E78E13"/>
    <w:rsid w:val="21F96930"/>
    <w:rsid w:val="228E7F81"/>
    <w:rsid w:val="230AA3DA"/>
    <w:rsid w:val="23489F1B"/>
    <w:rsid w:val="24EC3C61"/>
    <w:rsid w:val="25BD91C0"/>
    <w:rsid w:val="26421617"/>
    <w:rsid w:val="26DA129E"/>
    <w:rsid w:val="28C706FD"/>
    <w:rsid w:val="29504A4C"/>
    <w:rsid w:val="2953712A"/>
    <w:rsid w:val="29DEE993"/>
    <w:rsid w:val="2A43A57C"/>
    <w:rsid w:val="2A952745"/>
    <w:rsid w:val="2B72F18C"/>
    <w:rsid w:val="2CA91DF7"/>
    <w:rsid w:val="2CF6E8C6"/>
    <w:rsid w:val="2DEED314"/>
    <w:rsid w:val="2E8C621E"/>
    <w:rsid w:val="2E90C035"/>
    <w:rsid w:val="2E9A2F51"/>
    <w:rsid w:val="2EFAD75C"/>
    <w:rsid w:val="2F5044C4"/>
    <w:rsid w:val="2F521F76"/>
    <w:rsid w:val="2FF3FDC9"/>
    <w:rsid w:val="30394972"/>
    <w:rsid w:val="30500984"/>
    <w:rsid w:val="3050B619"/>
    <w:rsid w:val="30C46D13"/>
    <w:rsid w:val="31C9C34A"/>
    <w:rsid w:val="3203741E"/>
    <w:rsid w:val="32F9A3A3"/>
    <w:rsid w:val="33245B26"/>
    <w:rsid w:val="336593AB"/>
    <w:rsid w:val="3368239A"/>
    <w:rsid w:val="34D99ADB"/>
    <w:rsid w:val="34F66BF7"/>
    <w:rsid w:val="359005AC"/>
    <w:rsid w:val="35C7DDF6"/>
    <w:rsid w:val="38E2B20E"/>
    <w:rsid w:val="38FF7EB8"/>
    <w:rsid w:val="39649C8F"/>
    <w:rsid w:val="3A2DC236"/>
    <w:rsid w:val="3A9B4F19"/>
    <w:rsid w:val="3BAFF30B"/>
    <w:rsid w:val="3C049DC4"/>
    <w:rsid w:val="3C6F2DD5"/>
    <w:rsid w:val="3CA838E0"/>
    <w:rsid w:val="3D9B8A7F"/>
    <w:rsid w:val="3E661E25"/>
    <w:rsid w:val="3E83CA75"/>
    <w:rsid w:val="3EB71E95"/>
    <w:rsid w:val="3F5B0389"/>
    <w:rsid w:val="3FE2782F"/>
    <w:rsid w:val="402E9F8A"/>
    <w:rsid w:val="40A4E2FE"/>
    <w:rsid w:val="40D1C595"/>
    <w:rsid w:val="41D3CD98"/>
    <w:rsid w:val="41D46717"/>
    <w:rsid w:val="420389AF"/>
    <w:rsid w:val="42452CBB"/>
    <w:rsid w:val="429935A8"/>
    <w:rsid w:val="435B1C17"/>
    <w:rsid w:val="43C095AE"/>
    <w:rsid w:val="4456520B"/>
    <w:rsid w:val="452B7163"/>
    <w:rsid w:val="4637AAD4"/>
    <w:rsid w:val="46A049E0"/>
    <w:rsid w:val="46A27F6D"/>
    <w:rsid w:val="4722293B"/>
    <w:rsid w:val="47577CD2"/>
    <w:rsid w:val="47F140D9"/>
    <w:rsid w:val="48C27EA3"/>
    <w:rsid w:val="49383BB6"/>
    <w:rsid w:val="493A36FD"/>
    <w:rsid w:val="493B23F6"/>
    <w:rsid w:val="49784BE2"/>
    <w:rsid w:val="49CF66FB"/>
    <w:rsid w:val="4A849375"/>
    <w:rsid w:val="4AD2FBA6"/>
    <w:rsid w:val="4B0EBDB9"/>
    <w:rsid w:val="4BF1CBAC"/>
    <w:rsid w:val="4C4AEA37"/>
    <w:rsid w:val="4C5855D3"/>
    <w:rsid w:val="4CAF0442"/>
    <w:rsid w:val="4D2D79AC"/>
    <w:rsid w:val="4D423F5E"/>
    <w:rsid w:val="4E4EB7E9"/>
    <w:rsid w:val="4E889DAC"/>
    <w:rsid w:val="4E9C607B"/>
    <w:rsid w:val="50FB2409"/>
    <w:rsid w:val="511BACB6"/>
    <w:rsid w:val="51367437"/>
    <w:rsid w:val="516101A3"/>
    <w:rsid w:val="52A0FC6B"/>
    <w:rsid w:val="52B77D17"/>
    <w:rsid w:val="52B9F00B"/>
    <w:rsid w:val="535B82B5"/>
    <w:rsid w:val="53F8D6DC"/>
    <w:rsid w:val="5415282C"/>
    <w:rsid w:val="54471A52"/>
    <w:rsid w:val="5470352E"/>
    <w:rsid w:val="54DD76F4"/>
    <w:rsid w:val="5540DBCB"/>
    <w:rsid w:val="55C61E09"/>
    <w:rsid w:val="575C7116"/>
    <w:rsid w:val="57C417B3"/>
    <w:rsid w:val="59415882"/>
    <w:rsid w:val="5949A134"/>
    <w:rsid w:val="59D23DE9"/>
    <w:rsid w:val="5ABF4C88"/>
    <w:rsid w:val="5B8D7890"/>
    <w:rsid w:val="5C5F275E"/>
    <w:rsid w:val="5CB7017D"/>
    <w:rsid w:val="5D2DE9D4"/>
    <w:rsid w:val="5D3B8D54"/>
    <w:rsid w:val="5D99DE2F"/>
    <w:rsid w:val="5DA60CEA"/>
    <w:rsid w:val="5DABED15"/>
    <w:rsid w:val="5E0BDFC1"/>
    <w:rsid w:val="5EDEAD50"/>
    <w:rsid w:val="6000C406"/>
    <w:rsid w:val="60211DA2"/>
    <w:rsid w:val="60E7F9B2"/>
    <w:rsid w:val="619BE199"/>
    <w:rsid w:val="61CA4777"/>
    <w:rsid w:val="61E3370A"/>
    <w:rsid w:val="6283F998"/>
    <w:rsid w:val="636EDB5B"/>
    <w:rsid w:val="63DEABC9"/>
    <w:rsid w:val="63F3EE08"/>
    <w:rsid w:val="64D6E8E4"/>
    <w:rsid w:val="65A16597"/>
    <w:rsid w:val="66171393"/>
    <w:rsid w:val="665CAED4"/>
    <w:rsid w:val="66B848CB"/>
    <w:rsid w:val="676B6B7A"/>
    <w:rsid w:val="68E3577E"/>
    <w:rsid w:val="6A18E0CE"/>
    <w:rsid w:val="6A5891C6"/>
    <w:rsid w:val="6A8A0F71"/>
    <w:rsid w:val="6D292F0D"/>
    <w:rsid w:val="6DFA0B68"/>
    <w:rsid w:val="6E4DBA07"/>
    <w:rsid w:val="6E6A76B8"/>
    <w:rsid w:val="6F02533F"/>
    <w:rsid w:val="6FBFE6EA"/>
    <w:rsid w:val="703093B2"/>
    <w:rsid w:val="70D8ABF8"/>
    <w:rsid w:val="710061E3"/>
    <w:rsid w:val="71998C5D"/>
    <w:rsid w:val="71AE23C8"/>
    <w:rsid w:val="71CB8B1E"/>
    <w:rsid w:val="725D8E24"/>
    <w:rsid w:val="73891B79"/>
    <w:rsid w:val="7447C2E3"/>
    <w:rsid w:val="745D9280"/>
    <w:rsid w:val="7578FD09"/>
    <w:rsid w:val="75FE0409"/>
    <w:rsid w:val="78243E07"/>
    <w:rsid w:val="79C3F8C6"/>
    <w:rsid w:val="7A32DC49"/>
    <w:rsid w:val="7B2000C9"/>
    <w:rsid w:val="7B2163B8"/>
    <w:rsid w:val="7B45592D"/>
    <w:rsid w:val="7BD15EAC"/>
    <w:rsid w:val="7BEA8709"/>
    <w:rsid w:val="7C867FF9"/>
    <w:rsid w:val="7CB0A32D"/>
    <w:rsid w:val="7CEC6C33"/>
    <w:rsid w:val="7D208225"/>
    <w:rsid w:val="7E5A0559"/>
    <w:rsid w:val="7F7D1203"/>
    <w:rsid w:val="7FB8F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2468CE0C-3CFA-4647-AFC4-5BBC5729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ind w:left="72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uiPriority w:val="39"/>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0009A7"/>
    <w:pPr>
      <w:widowControl w:val="0"/>
      <w:suppressAutoHyphens/>
    </w:pPr>
    <w:rPr>
      <w:rFonts w:ascii="Arial" w:eastAsia="SimSun" w:hAnsi="Arial" w:cs="Arial"/>
      <w:color w:val="000000"/>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derbycollegeac.sharepoint.com/:w:/r/sites/IPPolicyManagement/Policy%20Documents/Staff%20Policies/Higher%20Education/HE%20Admissions%20Policy/HE%20Admissions%20Policy%20Supporting%20Document/Admissions%20Guidance%20Notes%20for%20Higher%20Education.docx?d=wbcdc5f5f7d9b4c52ac31b3432df25419&amp;csf=1&amp;web=1&amp;e=GhA17U" TargetMode="External"/><Relationship Id="rId18" Type="http://schemas.openxmlformats.org/officeDocument/2006/relationships/hyperlink" Target="http://www.gov.uk/apprenticeships-gui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erby-college.ac.uk/gdpr" TargetMode="External"/><Relationship Id="rId17" Type="http://schemas.openxmlformats.org/officeDocument/2006/relationships/hyperlink" Target="https://www.derby-college.ac.uk/documents/he/terms_conditions.pdf" TargetMode="External"/><Relationship Id="rId2" Type="http://schemas.openxmlformats.org/officeDocument/2006/relationships/customXml" Target="../customXml/item2.xml"/><Relationship Id="rId16" Type="http://schemas.openxmlformats.org/officeDocument/2006/relationships/hyperlink" Target="https://www.derby-college.ac.uk/documents/he/terms_condition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ucas.com/" TargetMode="External"/><Relationship Id="rId10" Type="http://schemas.openxmlformats.org/officeDocument/2006/relationships/image" Target="media/image1.png"/><Relationship Id="rId19" Type="http://schemas.openxmlformats.org/officeDocument/2006/relationships/hyperlink" Target="https://intouch.derby-college.ac.uk/Forms/Enqui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derbycollegeac.sharepoint.com/:w:/r/sites/IPPolicyManagement/Policy%20Documents/Staff%20Policies/Higher%20Education/HE%20Admissions%20Policy/HE%20Admissions%20Policy%20Supporting%20Document/HE%20Admissions%20Procedure.docx?d=w1480f1414b824b5eb9c7cd5268d8e2f8&amp;csf=1&amp;web=1&amp;e=TlsQd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i:0#.f|membership|roberta.hall@derby-college.ac.uk</DisplayName>
        <AccountId>32</AccountId>
        <AccountType/>
      </UserInfo>
      <UserInfo>
        <DisplayName>i:0#.f|membership|tracey.burgin@derby-college.ac.uk</DisplayName>
        <AccountId>26</AccountId>
        <AccountType/>
      </UserInfo>
      <UserInfo>
        <DisplayName>i:0#.f|membership|lisa.saunders@derby-college.ac.uk</DisplayName>
        <AccountId>35</AccountId>
        <AccountType/>
      </UserInfo>
      <UserInfo>
        <DisplayName>richard.bell@derby-college.ac.uk</DisplayName>
        <AccountId>927</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Policythisbelongsto xmlns="1b5ba183-116c-4df8-b4ca-532a6528ee32" xsi:nil="true"/>
    <EndDate xmlns="1b5ba183-116c-4df8-b4ca-532a6528ee32" xsi:nil="true"/>
    <EmailReminder xmlns="1b5ba183-116c-4df8-b4ca-532a6528ee32">false</EmailReminder>
    <Approval xmlns="1b5ba183-116c-4df8-b4ca-532a6528ee32" xsi:nil="true"/>
    <SDLinkedinsidePolicy xmlns="1b5ba183-116c-4df8-b4ca-532a6528ee32">true</SDLinkedinsidePolicy>
  </documentManagement>
</p:properties>
</file>

<file path=customXml/itemProps1.xml><?xml version="1.0" encoding="utf-8"?>
<ds:datastoreItem xmlns:ds="http://schemas.openxmlformats.org/officeDocument/2006/customXml" ds:itemID="{92EC88F4-07DC-4AC1-B278-C379E3AE38D5}">
  <ds:schemaRefs>
    <ds:schemaRef ds:uri="http://schemas.microsoft.com/sharepoint/v3/contenttype/forms"/>
  </ds:schemaRefs>
</ds:datastoreItem>
</file>

<file path=customXml/itemProps2.xml><?xml version="1.0" encoding="utf-8"?>
<ds:datastoreItem xmlns:ds="http://schemas.openxmlformats.org/officeDocument/2006/customXml" ds:itemID="{6A1EC63A-6182-4558-9F93-52AFBB735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3D5EF-B89A-4D25-9D27-88F0E326ECA2}">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4995</Words>
  <Characters>28472</Characters>
  <Application>Microsoft Office Word</Application>
  <DocSecurity>0</DocSecurity>
  <Lines>237</Lines>
  <Paragraphs>66</Paragraphs>
  <ScaleCrop>false</ScaleCrop>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Bell</dc:creator>
  <cp:keywords/>
  <dc:description/>
  <cp:lastModifiedBy>Kellie Hall</cp:lastModifiedBy>
  <cp:revision>2</cp:revision>
  <dcterms:created xsi:type="dcterms:W3CDTF">2026-04-13T15:06:00Z</dcterms:created>
  <dcterms:modified xsi:type="dcterms:W3CDTF">2026-04-13T15:06:00Z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DocumentOwner">
    <vt:lpwstr>Kate Martin</vt:lpwstr>
  </property>
  <property fmtid="{D5CDD505-2E9C-101B-9397-08002B2CF9AE}" pid="4" name="PublishStatus">
    <vt:lpwstr>Published</vt:lpwstr>
  </property>
  <property fmtid="{D5CDD505-2E9C-101B-9397-08002B2CF9AE}" pid="5" name="Event">
    <vt:lpwstr>Request Reject</vt:lpwstr>
  </property>
  <property fmtid="{D5CDD505-2E9C-101B-9397-08002B2CF9AE}" pid="6" name="Policy Portal Retirement Process">
    <vt:lpwstr/>
  </property>
  <property fmtid="{D5CDD505-2E9C-101B-9397-08002B2CF9AE}" pid="7" name="ExistingDocumentStatus">
    <vt:lpwstr/>
  </property>
  <property fmtid="{D5CDD505-2E9C-101B-9397-08002B2CF9AE}" pid="8" name="Policy Portal Approval Workflow">
    <vt:lpwstr/>
  </property>
  <property fmtid="{D5CDD505-2E9C-101B-9397-08002B2CF9AE}" pid="9" name="Policy Portal Revision Workflow ">
    <vt:lpwstr/>
  </property>
  <property fmtid="{D5CDD505-2E9C-101B-9397-08002B2CF9AE}" pid="10" name="Policy Portal Admin Update Process ">
    <vt:lpwstr/>
  </property>
  <property fmtid="{D5CDD505-2E9C-101B-9397-08002B2CF9AE}" pid="11" name="PolicyDocWorkflow - ItemUpdated">
    <vt:lpwstr/>
  </property>
  <property fmtid="{D5CDD505-2E9C-101B-9397-08002B2CF9AE}" pid="12" name="Workflow1 - ItemUpdated">
    <vt:lpwstr/>
  </property>
  <property fmtid="{D5CDD505-2E9C-101B-9397-08002B2CF9AE}" pid="13" name="Policy Portal Retirement Request">
    <vt:lpwstr/>
  </property>
  <property fmtid="{D5CDD505-2E9C-101B-9397-08002B2CF9AE}" pid="14" name="FinalApprover">
    <vt:lpwstr/>
  </property>
  <property fmtid="{D5CDD505-2E9C-101B-9397-08002B2CF9AE}" pid="15" name="UploadBy">
    <vt:lpwstr>28</vt:lpwstr>
  </property>
  <property fmtid="{D5CDD505-2E9C-101B-9397-08002B2CF9AE}" pid="16" name="IsReferencedBy">
    <vt:lpwstr/>
  </property>
  <property fmtid="{D5CDD505-2E9C-101B-9397-08002B2CF9AE}" pid="17" name="AssignedTo">
    <vt:lpwstr>48;#i:0#.f|membership|julie.dorrington@derby-college.ac.uk</vt:lpwstr>
  </property>
  <property fmtid="{D5CDD505-2E9C-101B-9397-08002B2CF9AE}" pid="18" name="Policy Portal Admin Update Process">
    <vt:lpwstr/>
  </property>
  <property fmtid="{D5CDD505-2E9C-101B-9397-08002B2CF9AE}" pid="19" name="Policy Portal Revision Workflow">
    <vt:lpwstr/>
  </property>
  <property fmtid="{D5CDD505-2E9C-101B-9397-08002B2CF9AE}" pid="20" name="Approved Users Count">
    <vt:r8>0</vt:r8>
  </property>
  <property fmtid="{D5CDD505-2E9C-101B-9397-08002B2CF9AE}" pid="21" name="Reviewed Users Count">
    <vt:r8>0</vt:r8>
  </property>
  <property fmtid="{D5CDD505-2E9C-101B-9397-08002B2CF9AE}" pid="22" name="DateCreated">
    <vt:filetime>2020-06-11T09:17:15Z</vt:filetime>
  </property>
  <property fmtid="{D5CDD505-2E9C-101B-9397-08002B2CF9AE}" pid="23" name="CompletedInstance5">
    <vt:lpwstr>510853ae-a505-4cd4-8c9a-fbc73b0d683b,e47feb7c-8576-44ce-9906-359377416adf</vt:lpwstr>
  </property>
  <property fmtid="{D5CDD505-2E9C-101B-9397-08002B2CF9AE}" pid="24" name="RunningLastInstance">
    <vt:lpwstr>08585222846569848148886941858CU67-3</vt:lpwstr>
  </property>
  <property fmtid="{D5CDD505-2E9C-101B-9397-08002B2CF9AE}" pid="25" name="CompletedInstance2">
    <vt:lpwstr>9eff12ec-0bf4-47bb-bacb-0a9ff7711c70</vt:lpwstr>
  </property>
  <property fmtid="{D5CDD505-2E9C-101B-9397-08002B2CF9AE}" pid="26" name="CompletedInstance">
    <vt:lpwstr>08585486416342190208158604861CU59-2-202303201423524</vt:lpwstr>
  </property>
  <property fmtid="{D5CDD505-2E9C-101B-9397-08002B2CF9AE}" pid="27" name="DateStarted">
    <vt:filetime>2023-03-20T14:23:51Z</vt:filetime>
  </property>
  <property fmtid="{D5CDD505-2E9C-101B-9397-08002B2CF9AE}" pid="28" name="MSIP_Label_a8660e0d-c47b-41e7-a62b-fb6eff85b393_Enabled">
    <vt:lpwstr>true</vt:lpwstr>
  </property>
  <property fmtid="{D5CDD505-2E9C-101B-9397-08002B2CF9AE}" pid="29" name="MSIP_Label_a8660e0d-c47b-41e7-a62b-fb6eff85b393_SetDate">
    <vt:lpwstr>2023-03-20T14:28:24Z</vt:lpwstr>
  </property>
  <property fmtid="{D5CDD505-2E9C-101B-9397-08002B2CF9AE}" pid="30" name="MSIP_Label_a8660e0d-c47b-41e7-a62b-fb6eff85b393_Method">
    <vt:lpwstr>Standard</vt:lpwstr>
  </property>
  <property fmtid="{D5CDD505-2E9C-101B-9397-08002B2CF9AE}" pid="31" name="MSIP_Label_a8660e0d-c47b-41e7-a62b-fb6eff85b393_Name">
    <vt:lpwstr>defa4170-0d19-0005-0004-bc88714345d2</vt:lpwstr>
  </property>
  <property fmtid="{D5CDD505-2E9C-101B-9397-08002B2CF9AE}" pid="32" name="MSIP_Label_a8660e0d-c47b-41e7-a62b-fb6eff85b393_SiteId">
    <vt:lpwstr>7584d747-9421-477d-8345-bedc5d73bc46</vt:lpwstr>
  </property>
  <property fmtid="{D5CDD505-2E9C-101B-9397-08002B2CF9AE}" pid="33" name="MSIP_Label_a8660e0d-c47b-41e7-a62b-fb6eff85b393_ActionId">
    <vt:lpwstr>0cc280cc-6d84-4383-b3d4-d53d8c1ef793</vt:lpwstr>
  </property>
  <property fmtid="{D5CDD505-2E9C-101B-9397-08002B2CF9AE}" pid="34" name="MSIP_Label_a8660e0d-c47b-41e7-a62b-fb6eff85b393_ContentBits">
    <vt:lpwstr>0</vt:lpwstr>
  </property>
  <property fmtid="{D5CDD505-2E9C-101B-9397-08002B2CF9AE}" pid="35" name="DateReviewCompleted">
    <vt:filetime>2023-03-20T14:41:44Z</vt:filetime>
  </property>
  <property fmtid="{D5CDD505-2E9C-101B-9397-08002B2CF9AE}" pid="36" name="ApprovedDate">
    <vt:filetime>2023-03-20T14:44:06Z</vt:filetime>
  </property>
  <property fmtid="{D5CDD505-2E9C-101B-9397-08002B2CF9AE}" pid="37" name="DatePublished">
    <vt:filetime>2023-03-20T14:44:23Z</vt:filetime>
  </property>
  <property fmtid="{D5CDD505-2E9C-101B-9397-08002B2CF9AE}" pid="38" name="NextReviewDate">
    <vt:filetime>2023-12-20T00:00:00Z</vt:filetime>
  </property>
  <property fmtid="{D5CDD505-2E9C-101B-9397-08002B2CF9AE}" pid="39" name="EndDate">
    <vt:filetime>2024-03-19T00:00:00Z</vt:filetime>
  </property>
  <property fmtid="{D5CDD505-2E9C-101B-9397-08002B2CF9AE}" pid="40" name="ReviewInterval">
    <vt:r8>365</vt:r8>
  </property>
  <property fmtid="{D5CDD505-2E9C-101B-9397-08002B2CF9AE}" pid="41" name="MediaServiceImageTags">
    <vt:lpwstr/>
  </property>
</Properties>
</file>