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EACA"/>
  <w:body>
    <w:p w14:paraId="2DDCD640" w14:textId="770D2DC6" w:rsidR="001176C9" w:rsidRDefault="0457C927" w:rsidP="6ACF69AE">
      <w:pPr>
        <w:rPr>
          <w:color w:val="1F3864" w:themeColor="accent5" w:themeShade="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394402" wp14:editId="770CE5B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26672" cy="1072989"/>
            <wp:effectExtent l="0" t="0" r="0" b="0"/>
            <wp:wrapNone/>
            <wp:docPr id="4854583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5833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72" cy="1072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10550811"/>
    </w:p>
    <w:bookmarkEnd w:id="0"/>
    <w:p w14:paraId="3DF1D635" w14:textId="3DBBDEF2" w:rsidR="00FE6047" w:rsidRPr="004737FC" w:rsidRDefault="00FE6047" w:rsidP="0457C927">
      <w:pPr>
        <w:spacing w:before="400" w:line="360" w:lineRule="auto"/>
        <w:jc w:val="both"/>
        <w:rPr>
          <w:rFonts w:ascii="Century Gothic" w:eastAsia="Century Gothic" w:hAnsi="Century Gothic" w:cs="Century Gothic"/>
          <w:b/>
          <w:bCs/>
          <w:color w:val="1F3864" w:themeColor="accent5" w:themeShade="80"/>
          <w:spacing w:val="-20"/>
          <w:sz w:val="48"/>
          <w:szCs w:val="48"/>
        </w:rPr>
      </w:pPr>
      <w:r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pacing w:val="-20"/>
          <w:sz w:val="48"/>
          <w:szCs w:val="48"/>
        </w:rPr>
        <w:t>DERBY</w:t>
      </w:r>
      <w:r w:rsidR="001D782F"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pacing w:val="-20"/>
          <w:sz w:val="48"/>
          <w:szCs w:val="48"/>
        </w:rPr>
        <w:t xml:space="preserve"> </w:t>
      </w:r>
      <w:r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pacing w:val="-20"/>
          <w:sz w:val="48"/>
          <w:szCs w:val="48"/>
        </w:rPr>
        <w:t>COLLEGE</w:t>
      </w:r>
      <w:r w:rsidR="001D782F"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pacing w:val="-20"/>
          <w:sz w:val="48"/>
          <w:szCs w:val="48"/>
        </w:rPr>
        <w:t xml:space="preserve"> </w:t>
      </w:r>
      <w:r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pacing w:val="-20"/>
          <w:sz w:val="48"/>
          <w:szCs w:val="48"/>
        </w:rPr>
        <w:t>GROUP</w:t>
      </w:r>
    </w:p>
    <w:p w14:paraId="01B37FBB" w14:textId="6B5913F7" w:rsidR="00FE6047" w:rsidRPr="004737FC" w:rsidRDefault="00FE6047" w:rsidP="0457C927">
      <w:pPr>
        <w:spacing w:line="360" w:lineRule="auto"/>
        <w:ind w:left="720" w:firstLine="720"/>
        <w:jc w:val="both"/>
        <w:rPr>
          <w:rFonts w:ascii="Century Gothic" w:eastAsia="Century Gothic" w:hAnsi="Century Gothic" w:cs="Century Gothic"/>
          <w:b/>
          <w:bCs/>
          <w:color w:val="1F3864" w:themeColor="accent5" w:themeShade="80"/>
          <w:spacing w:val="-20"/>
          <w:sz w:val="48"/>
          <w:szCs w:val="48"/>
        </w:rPr>
      </w:pPr>
      <w:r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pacing w:val="-20"/>
          <w:sz w:val="48"/>
          <w:szCs w:val="48"/>
        </w:rPr>
        <w:t>POLICY</w:t>
      </w:r>
    </w:p>
    <w:p w14:paraId="7F308755" w14:textId="681DCF27" w:rsidR="00FE6047" w:rsidRPr="00FE6047" w:rsidRDefault="00934EA8" w:rsidP="0457C927">
      <w:pPr>
        <w:spacing w:before="1440" w:after="240"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56"/>
          <w:szCs w:val="56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  <w:sz w:val="56"/>
          <w:szCs w:val="56"/>
        </w:rPr>
        <w:t>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56"/>
          <w:szCs w:val="56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  <w:sz w:val="56"/>
          <w:szCs w:val="56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56"/>
          <w:szCs w:val="56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  <w:sz w:val="56"/>
          <w:szCs w:val="56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56"/>
          <w:szCs w:val="56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  <w:sz w:val="56"/>
          <w:szCs w:val="56"/>
        </w:rPr>
        <w:t>Policy</w:t>
      </w:r>
    </w:p>
    <w:p w14:paraId="65088FFA" w14:textId="33A59984" w:rsidR="00FE6047" w:rsidRDefault="00FE6047" w:rsidP="0457C927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Number:</w:t>
      </w:r>
      <w:r>
        <w:tab/>
      </w:r>
      <w:r w:rsidR="00C275B3" w:rsidRPr="0457C927">
        <w:rPr>
          <w:rFonts w:ascii="Century Gothic" w:eastAsia="Century Gothic" w:hAnsi="Century Gothic" w:cs="Century Gothic"/>
          <w:color w:val="1F3864" w:themeColor="accent5" w:themeShade="80"/>
        </w:rPr>
        <w:t>HE</w:t>
      </w:r>
      <w:r w:rsidR="00D42832" w:rsidRPr="0457C927">
        <w:rPr>
          <w:rFonts w:ascii="Century Gothic" w:eastAsia="Century Gothic" w:hAnsi="Century Gothic" w:cs="Century Gothic"/>
          <w:color w:val="1F3864" w:themeColor="accent5" w:themeShade="80"/>
        </w:rPr>
        <w:t>D</w:t>
      </w:r>
      <w:r w:rsidR="2E2E1403" w:rsidRPr="0457C927">
        <w:rPr>
          <w:rFonts w:ascii="Century Gothic" w:eastAsia="Century Gothic" w:hAnsi="Century Gothic" w:cs="Century Gothic"/>
          <w:color w:val="1F3864" w:themeColor="accent5" w:themeShade="80"/>
        </w:rPr>
        <w:t>-</w:t>
      </w:r>
      <w:r w:rsidR="00C275B3" w:rsidRPr="0457C927">
        <w:rPr>
          <w:rFonts w:ascii="Century Gothic" w:eastAsia="Century Gothic" w:hAnsi="Century Gothic" w:cs="Century Gothic"/>
          <w:color w:val="1F3864" w:themeColor="accent5" w:themeShade="80"/>
        </w:rPr>
        <w:t>00</w:t>
      </w:r>
      <w:r w:rsidR="00D42832" w:rsidRPr="0457C927">
        <w:rPr>
          <w:rFonts w:ascii="Century Gothic" w:eastAsia="Century Gothic" w:hAnsi="Century Gothic" w:cs="Century Gothic"/>
          <w:color w:val="1F3864" w:themeColor="accent5" w:themeShade="80"/>
        </w:rPr>
        <w:t>3</w:t>
      </w:r>
    </w:p>
    <w:p w14:paraId="14E26CFF" w14:textId="5BF641AD" w:rsidR="00FE6047" w:rsidRDefault="00FE6047" w:rsidP="0457C927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Executive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Owner:</w:t>
      </w:r>
      <w:r>
        <w:tab/>
      </w:r>
      <w:r w:rsidR="00B17241" w:rsidRPr="0457C927">
        <w:rPr>
          <w:rFonts w:ascii="Century Gothic" w:eastAsia="Century Gothic" w:hAnsi="Century Gothic" w:cs="Century Gothic"/>
          <w:color w:val="1F3864" w:themeColor="accent5" w:themeShade="80"/>
        </w:rPr>
        <w:t>Deputy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B17241" w:rsidRPr="0457C927">
        <w:rPr>
          <w:rFonts w:ascii="Century Gothic" w:eastAsia="Century Gothic" w:hAnsi="Century Gothic" w:cs="Century Gothic"/>
          <w:color w:val="1F3864" w:themeColor="accent5" w:themeShade="80"/>
        </w:rPr>
        <w:t>CEO</w:t>
      </w:r>
    </w:p>
    <w:p w14:paraId="2FAC4BB4" w14:textId="739F395D" w:rsidR="00FE6047" w:rsidRDefault="00FE6047" w:rsidP="0457C927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Owning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Strategy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/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Department:</w:t>
      </w:r>
      <w:r>
        <w:tab/>
      </w:r>
      <w:r w:rsidR="00B17241" w:rsidRPr="0457C927">
        <w:rPr>
          <w:rFonts w:ascii="Century Gothic" w:eastAsia="Century Gothic" w:hAnsi="Century Gothic" w:cs="Century Gothic"/>
          <w:color w:val="1F3864" w:themeColor="accent5" w:themeShade="80"/>
        </w:rPr>
        <w:t>Higher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B17241" w:rsidRPr="0457C927">
        <w:rPr>
          <w:rFonts w:ascii="Century Gothic" w:eastAsia="Century Gothic" w:hAnsi="Century Gothic" w:cs="Century Gothic"/>
          <w:color w:val="1F3864" w:themeColor="accent5" w:themeShade="80"/>
        </w:rPr>
        <w:t>Education</w:t>
      </w:r>
    </w:p>
    <w:p w14:paraId="384CB6DD" w14:textId="4405DA29" w:rsidR="00FE6047" w:rsidRDefault="00FE6047" w:rsidP="0457C927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Approval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Board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/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Committee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/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Group:</w:t>
      </w:r>
      <w:r>
        <w:tab/>
      </w:r>
      <w:r w:rsidR="000F5C70" w:rsidRPr="0457C927">
        <w:rPr>
          <w:rFonts w:ascii="Century Gothic" w:eastAsia="Century Gothic" w:hAnsi="Century Gothic" w:cs="Century Gothic"/>
          <w:color w:val="1F3864" w:themeColor="accent5" w:themeShade="80"/>
        </w:rPr>
        <w:t>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F5C70" w:rsidRPr="0457C927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F5C70" w:rsidRPr="0457C927">
        <w:rPr>
          <w:rFonts w:ascii="Century Gothic" w:eastAsia="Century Gothic" w:hAnsi="Century Gothic" w:cs="Century Gothic"/>
          <w:color w:val="1F3864" w:themeColor="accent5" w:themeShade="80"/>
        </w:rPr>
        <w:t>Board</w:t>
      </w:r>
    </w:p>
    <w:p w14:paraId="41CCAA4D" w14:textId="33517971" w:rsidR="00FE6047" w:rsidRDefault="00FE6047" w:rsidP="0457C927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User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Group:</w:t>
      </w:r>
      <w:r>
        <w:tab/>
      </w:r>
      <w:r w:rsidR="00EF5C6D" w:rsidRPr="0457C927">
        <w:rPr>
          <w:rFonts w:ascii="Century Gothic" w:eastAsia="Century Gothic" w:hAnsi="Century Gothic" w:cs="Century Gothic"/>
          <w:color w:val="1F3864" w:themeColor="accent5" w:themeShade="80"/>
        </w:rPr>
        <w:t>All students on a Higher Education programme</w:t>
      </w:r>
    </w:p>
    <w:p w14:paraId="0F48029F" w14:textId="4408EEC2" w:rsidR="00FE6047" w:rsidRDefault="00FE6047" w:rsidP="0457C927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Relevant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To:</w:t>
      </w:r>
      <w:r>
        <w:tab/>
      </w:r>
      <w:r w:rsidR="00EF5C6D" w:rsidRPr="0457C927">
        <w:rPr>
          <w:rFonts w:ascii="Century Gothic" w:eastAsia="Century Gothic" w:hAnsi="Century Gothic" w:cs="Century Gothic"/>
          <w:color w:val="1F3864" w:themeColor="accent5" w:themeShade="80"/>
        </w:rPr>
        <w:t>As above</w:t>
      </w:r>
    </w:p>
    <w:p w14:paraId="5186AB06" w14:textId="145F7126" w:rsidR="00493C80" w:rsidRDefault="00FE6047" w:rsidP="0457C927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Implementation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Date:</w:t>
      </w:r>
      <w:r>
        <w:tab/>
      </w:r>
      <w:r w:rsidR="00460218" w:rsidRPr="0457C927">
        <w:rPr>
          <w:rFonts w:ascii="Century Gothic" w:eastAsia="Century Gothic" w:hAnsi="Century Gothic" w:cs="Century Gothic"/>
          <w:color w:val="1F3864" w:themeColor="accent5" w:themeShade="80"/>
        </w:rPr>
        <w:t>July 2019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</w:p>
    <w:p w14:paraId="69783687" w14:textId="66CC6980" w:rsidR="00FE6047" w:rsidRDefault="00FE6047" w:rsidP="0457C927">
      <w:pPr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634235E2">
        <w:rPr>
          <w:rFonts w:ascii="Century Gothic" w:eastAsia="Century Gothic" w:hAnsi="Century Gothic" w:cs="Century Gothic"/>
          <w:color w:val="1F3864" w:themeColor="accent5" w:themeShade="80"/>
        </w:rPr>
        <w:t>Approval</w:t>
      </w:r>
      <w:r w:rsidR="001D782F" w:rsidRPr="634235E2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634235E2">
        <w:rPr>
          <w:rFonts w:ascii="Century Gothic" w:eastAsia="Century Gothic" w:hAnsi="Century Gothic" w:cs="Century Gothic"/>
          <w:color w:val="1F3864" w:themeColor="accent5" w:themeShade="80"/>
        </w:rPr>
        <w:t>Date:</w:t>
      </w:r>
      <w:r>
        <w:tab/>
      </w:r>
      <w:r w:rsidR="6CB05E5C" w:rsidRPr="634235E2">
        <w:rPr>
          <w:rFonts w:ascii="Century Gothic" w:eastAsia="Century Gothic" w:hAnsi="Century Gothic" w:cs="Century Gothic"/>
          <w:color w:val="1F3864" w:themeColor="accent5" w:themeShade="80"/>
        </w:rPr>
        <w:t>November 2020</w:t>
      </w:r>
    </w:p>
    <w:p w14:paraId="76C2D209" w14:textId="1E682ADD" w:rsidR="00A67F9A" w:rsidRDefault="3E318DF3" w:rsidP="634235E2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634235E2">
        <w:rPr>
          <w:rFonts w:ascii="Century Gothic" w:eastAsia="Century Gothic" w:hAnsi="Century Gothic" w:cs="Century Gothic"/>
          <w:color w:val="1F3864" w:themeColor="accent5" w:themeShade="80"/>
        </w:rPr>
        <w:t>Review Period Start Date</w:t>
      </w:r>
      <w:r w:rsidR="00A67F9A" w:rsidRPr="634235E2">
        <w:rPr>
          <w:rFonts w:ascii="Century Gothic" w:eastAsia="Century Gothic" w:hAnsi="Century Gothic" w:cs="Century Gothic"/>
          <w:color w:val="1F3864" w:themeColor="accent5" w:themeShade="80"/>
        </w:rPr>
        <w:t>:</w:t>
      </w:r>
      <w:r w:rsidR="00A67F9A">
        <w:tab/>
      </w:r>
      <w:r w:rsidR="0BBDD34F" w:rsidRPr="634235E2">
        <w:rPr>
          <w:rFonts w:ascii="Century Gothic" w:eastAsia="Century Gothic" w:hAnsi="Century Gothic" w:cs="Century Gothic"/>
          <w:color w:val="1F3864" w:themeColor="accent5" w:themeShade="80"/>
        </w:rPr>
        <w:t>December</w:t>
      </w:r>
      <w:r w:rsidR="53A381A2" w:rsidRPr="634235E2">
        <w:rPr>
          <w:rFonts w:ascii="Century Gothic" w:eastAsia="Century Gothic" w:hAnsi="Century Gothic" w:cs="Century Gothic"/>
          <w:color w:val="1F3864" w:themeColor="accent5" w:themeShade="80"/>
        </w:rPr>
        <w:t xml:space="preserve"> 2026</w:t>
      </w:r>
    </w:p>
    <w:p w14:paraId="4A4FB9AB" w14:textId="34AED112" w:rsidR="00FE6047" w:rsidRPr="00FE6047" w:rsidRDefault="4EF0058F" w:rsidP="2BF391C5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634235E2">
        <w:rPr>
          <w:rFonts w:ascii="Century Gothic" w:eastAsia="Century Gothic" w:hAnsi="Century Gothic" w:cs="Century Gothic"/>
          <w:color w:val="1F3864" w:themeColor="accent5" w:themeShade="80"/>
        </w:rPr>
        <w:t>Expiry Date (Next Review</w:t>
      </w:r>
      <w:r w:rsidR="001D782F" w:rsidRPr="634235E2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FE6047" w:rsidRPr="634235E2">
        <w:rPr>
          <w:rFonts w:ascii="Century Gothic" w:eastAsia="Century Gothic" w:hAnsi="Century Gothic" w:cs="Century Gothic"/>
          <w:color w:val="1F3864" w:themeColor="accent5" w:themeShade="80"/>
        </w:rPr>
        <w:t>Date</w:t>
      </w:r>
      <w:r w:rsidR="5EC99EA6" w:rsidRPr="634235E2">
        <w:rPr>
          <w:rFonts w:ascii="Century Gothic" w:eastAsia="Century Gothic" w:hAnsi="Century Gothic" w:cs="Century Gothic"/>
          <w:color w:val="1F3864" w:themeColor="accent5" w:themeShade="80"/>
        </w:rPr>
        <w:t>)</w:t>
      </w:r>
      <w:r w:rsidR="00FE6047" w:rsidRPr="634235E2">
        <w:rPr>
          <w:rFonts w:ascii="Century Gothic" w:eastAsia="Century Gothic" w:hAnsi="Century Gothic" w:cs="Century Gothic"/>
          <w:color w:val="1F3864" w:themeColor="accent5" w:themeShade="80"/>
        </w:rPr>
        <w:t>:</w:t>
      </w:r>
      <w:r w:rsidR="00FE6047">
        <w:tab/>
      </w:r>
      <w:r w:rsidR="1FF75B84" w:rsidRPr="634235E2">
        <w:rPr>
          <w:rFonts w:ascii="Century Gothic" w:eastAsia="Century Gothic" w:hAnsi="Century Gothic" w:cs="Century Gothic"/>
          <w:color w:val="1F3864" w:themeColor="accent5" w:themeShade="80"/>
        </w:rPr>
        <w:t>Febr</w:t>
      </w:r>
      <w:r w:rsidR="106E46EC" w:rsidRPr="634235E2">
        <w:rPr>
          <w:rFonts w:ascii="Century Gothic" w:eastAsia="Century Gothic" w:hAnsi="Century Gothic" w:cs="Century Gothic"/>
          <w:color w:val="1F3864" w:themeColor="accent5" w:themeShade="80"/>
        </w:rPr>
        <w:t>uary 202</w:t>
      </w:r>
      <w:r w:rsidR="3EB1A182" w:rsidRPr="634235E2">
        <w:rPr>
          <w:rFonts w:ascii="Century Gothic" w:eastAsia="Century Gothic" w:hAnsi="Century Gothic" w:cs="Century Gothic"/>
          <w:color w:val="1F3864" w:themeColor="accent5" w:themeShade="80"/>
        </w:rPr>
        <w:t>7</w:t>
      </w:r>
    </w:p>
    <w:p w14:paraId="03C49FB9" w14:textId="6F225470" w:rsidR="2BF391C5" w:rsidRDefault="2BF391C5" w:rsidP="2BF391C5">
      <w:pPr>
        <w:tabs>
          <w:tab w:val="left" w:pos="2835"/>
        </w:tabs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63843A95" w14:textId="48D8A16B" w:rsidR="2BF391C5" w:rsidRDefault="2BF391C5" w:rsidP="2BF391C5">
      <w:pPr>
        <w:tabs>
          <w:tab w:val="left" w:pos="2835"/>
        </w:tabs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6590F492" w14:textId="180E56A9" w:rsidR="2BF391C5" w:rsidRDefault="2BF391C5" w:rsidP="2BF391C5">
      <w:pPr>
        <w:tabs>
          <w:tab w:val="left" w:pos="2835"/>
        </w:tabs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50261C09" w14:textId="2967C5C7" w:rsidR="2BF391C5" w:rsidRDefault="2BF391C5" w:rsidP="2BF391C5">
      <w:pPr>
        <w:tabs>
          <w:tab w:val="left" w:pos="2835"/>
        </w:tabs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28D57FB1" w14:textId="32258DCB" w:rsidR="2BF391C5" w:rsidRDefault="2BF391C5" w:rsidP="2BF391C5">
      <w:pPr>
        <w:tabs>
          <w:tab w:val="left" w:pos="2835"/>
        </w:tabs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5FBF391B" w14:textId="42B0D3D0" w:rsidR="2BF391C5" w:rsidRDefault="2BF391C5" w:rsidP="2BF391C5">
      <w:pPr>
        <w:tabs>
          <w:tab w:val="left" w:pos="2835"/>
        </w:tabs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3791C2EA" w14:textId="7BE3FB0D" w:rsidR="00FE6047" w:rsidRDefault="00FE6047" w:rsidP="2BF391C5">
      <w:pPr>
        <w:tabs>
          <w:tab w:val="left" w:pos="2835"/>
        </w:tabs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2BF391C5">
        <w:rPr>
          <w:rFonts w:ascii="Century Gothic" w:eastAsia="Century Gothic" w:hAnsi="Century Gothic" w:cs="Century Gothic"/>
          <w:color w:val="1F3864" w:themeColor="accent5" w:themeShade="80"/>
        </w:rPr>
        <w:t>Date:</w:t>
      </w:r>
      <w:r>
        <w:tab/>
      </w:r>
      <w:r w:rsidR="001D4F24" w:rsidRPr="2BF391C5">
        <w:rPr>
          <w:rFonts w:ascii="Century Gothic" w:eastAsia="Century Gothic" w:hAnsi="Century Gothic" w:cs="Century Gothic"/>
          <w:color w:val="1F3864" w:themeColor="accent5" w:themeShade="80"/>
        </w:rPr>
        <w:t>January 2025</w:t>
      </w:r>
    </w:p>
    <w:p w14:paraId="7D894BFA" w14:textId="1923DF28" w:rsidR="00FE6047" w:rsidRPr="00FE6047" w:rsidRDefault="00FE6047" w:rsidP="2BF391C5">
      <w:pPr>
        <w:tabs>
          <w:tab w:val="left" w:pos="2835"/>
        </w:tabs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2BF391C5">
        <w:rPr>
          <w:rFonts w:ascii="Century Gothic" w:eastAsia="Century Gothic" w:hAnsi="Century Gothic" w:cs="Century Gothic"/>
          <w:color w:val="1F3864" w:themeColor="accent5" w:themeShade="80"/>
        </w:rPr>
        <w:t>Originator:</w:t>
      </w:r>
      <w:r>
        <w:tab/>
      </w:r>
      <w:r w:rsidR="00AE58E2" w:rsidRPr="2BF391C5">
        <w:rPr>
          <w:rFonts w:ascii="Century Gothic" w:eastAsia="Century Gothic" w:hAnsi="Century Gothic" w:cs="Century Gothic"/>
          <w:color w:val="1F3864" w:themeColor="accent5" w:themeShade="80"/>
        </w:rPr>
        <w:t>Head of</w:t>
      </w:r>
      <w:r w:rsidR="007840AB" w:rsidRPr="2BF391C5">
        <w:rPr>
          <w:rFonts w:ascii="Century Gothic" w:eastAsia="Century Gothic" w:hAnsi="Century Gothic" w:cs="Century Gothic"/>
          <w:color w:val="1F3864" w:themeColor="accent5" w:themeShade="80"/>
        </w:rPr>
        <w:t xml:space="preserve"> Higher Education</w:t>
      </w:r>
      <w:r w:rsidR="008B3338" w:rsidRPr="2BF391C5">
        <w:rPr>
          <w:rFonts w:ascii="Century Gothic" w:eastAsia="Century Gothic" w:hAnsi="Century Gothic" w:cs="Century Gothic"/>
          <w:color w:val="1F3864" w:themeColor="accent5" w:themeShade="80"/>
        </w:rPr>
        <w:t>,</w:t>
      </w:r>
      <w:r w:rsidR="003F6044" w:rsidRPr="2BF391C5">
        <w:rPr>
          <w:rFonts w:ascii="Century Gothic" w:eastAsia="Century Gothic" w:hAnsi="Century Gothic" w:cs="Century Gothic"/>
          <w:color w:val="1F3864" w:themeColor="accent5" w:themeShade="80"/>
        </w:rPr>
        <w:t xml:space="preserve"> Quality</w:t>
      </w:r>
      <w:r w:rsidR="00B46DC3" w:rsidRPr="2BF391C5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B761F2" w:rsidRPr="2BF391C5">
        <w:rPr>
          <w:rFonts w:ascii="Century Gothic" w:eastAsia="Century Gothic" w:hAnsi="Century Gothic" w:cs="Century Gothic"/>
          <w:color w:val="1F3864" w:themeColor="accent5" w:themeShade="80"/>
        </w:rPr>
        <w:t>Assurance</w:t>
      </w:r>
    </w:p>
    <w:p w14:paraId="12675CBE" w14:textId="52CDC639" w:rsidR="00FE6047" w:rsidRDefault="00FE6047" w:rsidP="2BF391C5">
      <w:pPr>
        <w:tabs>
          <w:tab w:val="left" w:pos="2835"/>
        </w:tabs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2BF391C5">
        <w:rPr>
          <w:rFonts w:ascii="Century Gothic" w:eastAsia="Century Gothic" w:hAnsi="Century Gothic" w:cs="Century Gothic"/>
          <w:color w:val="1F3864" w:themeColor="accent5" w:themeShade="80"/>
        </w:rPr>
        <w:t>Area:</w:t>
      </w:r>
      <w:r>
        <w:tab/>
      </w:r>
      <w:r w:rsidR="007840AB" w:rsidRPr="2BF391C5">
        <w:rPr>
          <w:rFonts w:ascii="Century Gothic" w:eastAsia="Century Gothic" w:hAnsi="Century Gothic" w:cs="Century Gothic"/>
          <w:color w:val="1F3864" w:themeColor="accent5" w:themeShade="80"/>
        </w:rPr>
        <w:t>Higher Education</w:t>
      </w:r>
    </w:p>
    <w:p w14:paraId="6831E17A" w14:textId="052F7E87" w:rsidR="00FE6047" w:rsidRDefault="00FE6047" w:rsidP="2BF391C5">
      <w:pPr>
        <w:tabs>
          <w:tab w:val="left" w:pos="2835"/>
        </w:tabs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412C9D3B" w14:textId="6277112F" w:rsidR="00FE6047" w:rsidRDefault="3B9AF5FC" w:rsidP="6ACF69AE">
      <w:pPr>
        <w:spacing w:line="360" w:lineRule="auto"/>
        <w:jc w:val="both"/>
        <w:rPr>
          <w:color w:val="1F3864" w:themeColor="accent5" w:themeShade="80"/>
        </w:rPr>
      </w:pPr>
      <w:r>
        <w:rPr>
          <w:noProof/>
        </w:rPr>
        <w:drawing>
          <wp:inline distT="0" distB="0" distL="0" distR="0" wp14:anchorId="0972C439" wp14:editId="35A02E5A">
            <wp:extent cx="5724525" cy="381000"/>
            <wp:effectExtent l="0" t="0" r="0" b="0"/>
            <wp:docPr id="3870543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0488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EC14B" w14:textId="1398B9C5" w:rsidR="00143CD0" w:rsidRPr="002D7E54" w:rsidRDefault="00143CD0" w:rsidP="73A74BDA">
      <w:pPr>
        <w:spacing w:after="720"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0"/>
        </w:rPr>
      </w:pP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Once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printed,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this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is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an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uncontrolled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document.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Refer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to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Policy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Portal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for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latest</w:t>
      </w:r>
      <w:r w:rsidR="001D782F"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 xml:space="preserve"> </w:t>
      </w:r>
      <w:r w:rsidRPr="73A74BDA">
        <w:rPr>
          <w:rFonts w:ascii="Century Gothic" w:eastAsia="Century Gothic" w:hAnsi="Century Gothic" w:cs="Century Gothic"/>
          <w:color w:val="1F3864" w:themeColor="accent5" w:themeShade="80"/>
          <w:sz w:val="20"/>
        </w:rPr>
        <w:t>version.</w:t>
      </w:r>
    </w:p>
    <w:p w14:paraId="3983245F" w14:textId="5426330C" w:rsidR="00FE6047" w:rsidRDefault="00FE6047" w:rsidP="6ACF69AE">
      <w:pPr>
        <w:spacing w:after="720" w:line="360" w:lineRule="auto"/>
        <w:jc w:val="both"/>
        <w:rPr>
          <w:color w:val="1F3864" w:themeColor="accent5" w:themeShade="80"/>
        </w:rPr>
      </w:pPr>
    </w:p>
    <w:p w14:paraId="23C219C2" w14:textId="32983587" w:rsidR="00D1347C" w:rsidRDefault="00D1347C" w:rsidP="2BF391C5">
      <w:pPr>
        <w:pStyle w:val="Heading1"/>
        <w:spacing w:line="360" w:lineRule="auto"/>
        <w:jc w:val="both"/>
        <w:rPr>
          <w:rFonts w:ascii="Century Gothic" w:eastAsia="Century Gothic" w:hAnsi="Century Gothic" w:cs="Century Gothic"/>
          <w:b w:val="0"/>
          <w:color w:val="1F3864" w:themeColor="accent5" w:themeShade="80"/>
        </w:rPr>
      </w:pPr>
      <w:r w:rsidRPr="2BF391C5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2BF391C5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2BF391C5">
        <w:rPr>
          <w:rFonts w:ascii="Century Gothic" w:eastAsia="Century Gothic" w:hAnsi="Century Gothic" w:cs="Century Gothic"/>
          <w:color w:val="1F3864" w:themeColor="accent5" w:themeShade="80"/>
        </w:rPr>
        <w:t>Accountability</w:t>
      </w:r>
      <w:r w:rsidR="001D782F" w:rsidRPr="2BF391C5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2BF391C5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2BF391C5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2BF391C5">
        <w:rPr>
          <w:rFonts w:ascii="Century Gothic" w:eastAsia="Century Gothic" w:hAnsi="Century Gothic" w:cs="Century Gothic"/>
          <w:color w:val="1F3864" w:themeColor="accent5" w:themeShade="80"/>
        </w:rPr>
        <w:t>Implementation</w:t>
      </w:r>
    </w:p>
    <w:p w14:paraId="2C1300DC" w14:textId="124078D5" w:rsidR="00FC2CC1" w:rsidRPr="00F3575A" w:rsidRDefault="00AC58F9" w:rsidP="0457C927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Title:</w:t>
      </w:r>
      <w:r>
        <w:tab/>
      </w:r>
      <w:r w:rsidR="00075D81" w:rsidRPr="0457C927">
        <w:rPr>
          <w:rFonts w:ascii="Century Gothic" w:eastAsia="Century Gothic" w:hAnsi="Century Gothic" w:cs="Century Gothic"/>
          <w:color w:val="1F3864" w:themeColor="accent5" w:themeShade="80"/>
        </w:rPr>
        <w:t>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</w:p>
    <w:p w14:paraId="421DE87B" w14:textId="27DEE564" w:rsidR="009542F2" w:rsidRPr="00F3575A" w:rsidRDefault="009542F2" w:rsidP="0457C927">
      <w:pPr>
        <w:tabs>
          <w:tab w:val="left" w:pos="4536"/>
        </w:tabs>
        <w:spacing w:line="360" w:lineRule="auto"/>
        <w:ind w:left="4536" w:hanging="4536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Author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/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Reviewers:</w:t>
      </w:r>
      <w:r>
        <w:tab/>
      </w:r>
      <w:r w:rsidR="26AF483A" w:rsidRPr="0457C927">
        <w:rPr>
          <w:rFonts w:ascii="Century Gothic" w:eastAsia="Century Gothic" w:hAnsi="Century Gothic" w:cs="Century Gothic"/>
          <w:color w:val="1F3864" w:themeColor="accent5" w:themeShade="80"/>
        </w:rPr>
        <w:t>Head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75D81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75D81" w:rsidRPr="0457C927">
        <w:rPr>
          <w:rFonts w:ascii="Century Gothic" w:eastAsia="Century Gothic" w:hAnsi="Century Gothic" w:cs="Century Gothic"/>
          <w:color w:val="1F3864" w:themeColor="accent5" w:themeShade="80"/>
        </w:rPr>
        <w:t>Higher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75D81" w:rsidRPr="0457C927">
        <w:rPr>
          <w:rFonts w:ascii="Century Gothic" w:eastAsia="Century Gothic" w:hAnsi="Century Gothic" w:cs="Century Gothic"/>
          <w:color w:val="1F3864" w:themeColor="accent5" w:themeShade="80"/>
        </w:rPr>
        <w:t>Education</w:t>
      </w:r>
      <w:r w:rsidR="000F5C70" w:rsidRPr="0457C927">
        <w:rPr>
          <w:rFonts w:ascii="Century Gothic" w:eastAsia="Century Gothic" w:hAnsi="Century Gothic" w:cs="Century Gothic"/>
          <w:color w:val="1F3864" w:themeColor="accent5" w:themeShade="80"/>
        </w:rPr>
        <w:t>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F64D5C" w:rsidRPr="0457C927">
        <w:rPr>
          <w:rFonts w:ascii="Century Gothic" w:eastAsia="Century Gothic" w:hAnsi="Century Gothic" w:cs="Century Gothic"/>
          <w:color w:val="1F3864" w:themeColor="accent5" w:themeShade="80"/>
        </w:rPr>
        <w:t>Quality</w:t>
      </w:r>
      <w:r w:rsidR="003226AE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Assurance</w:t>
      </w:r>
      <w:r w:rsidR="00C44566" w:rsidRPr="0457C927">
        <w:rPr>
          <w:rFonts w:ascii="Century Gothic" w:eastAsia="Century Gothic" w:hAnsi="Century Gothic" w:cs="Century Gothic"/>
          <w:color w:val="1F3864" w:themeColor="accent5" w:themeShade="80"/>
        </w:rPr>
        <w:t>, VP</w:t>
      </w:r>
      <w:r w:rsidR="00434016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F5C70" w:rsidRPr="0457C927">
        <w:rPr>
          <w:rFonts w:ascii="Century Gothic" w:eastAsia="Century Gothic" w:hAnsi="Century Gothic" w:cs="Century Gothic"/>
          <w:color w:val="1F3864" w:themeColor="accent5" w:themeShade="80"/>
        </w:rPr>
        <w:t>Quality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322AAC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of </w:t>
      </w:r>
      <w:r w:rsidR="00BE5810" w:rsidRPr="0457C927">
        <w:rPr>
          <w:rFonts w:ascii="Century Gothic" w:eastAsia="Century Gothic" w:hAnsi="Century Gothic" w:cs="Century Gothic"/>
          <w:color w:val="1F3864" w:themeColor="accent5" w:themeShade="80"/>
        </w:rPr>
        <w:t>Education</w:t>
      </w:r>
    </w:p>
    <w:p w14:paraId="27907B24" w14:textId="0262CA9B" w:rsidR="009542F2" w:rsidRPr="00F3575A" w:rsidRDefault="009542F2" w:rsidP="0457C927">
      <w:pPr>
        <w:tabs>
          <w:tab w:val="left" w:pos="4536"/>
        </w:tabs>
        <w:spacing w:line="360" w:lineRule="auto"/>
        <w:ind w:left="4536" w:hanging="4536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Implementation:</w:t>
      </w:r>
      <w:r>
        <w:tab/>
      </w:r>
      <w:r w:rsidR="4358746B" w:rsidRPr="0457C927">
        <w:rPr>
          <w:rFonts w:ascii="Century Gothic" w:eastAsia="Century Gothic" w:hAnsi="Century Gothic" w:cs="Century Gothic"/>
          <w:color w:val="1F3864" w:themeColor="accent5" w:themeShade="80"/>
        </w:rPr>
        <w:t>Head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75D81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75D81" w:rsidRPr="0457C927">
        <w:rPr>
          <w:rFonts w:ascii="Century Gothic" w:eastAsia="Century Gothic" w:hAnsi="Century Gothic" w:cs="Century Gothic"/>
          <w:color w:val="1F3864" w:themeColor="accent5" w:themeShade="80"/>
        </w:rPr>
        <w:t>Higher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75D81" w:rsidRPr="0457C927">
        <w:rPr>
          <w:rFonts w:ascii="Century Gothic" w:eastAsia="Century Gothic" w:hAnsi="Century Gothic" w:cs="Century Gothic"/>
          <w:color w:val="1F3864" w:themeColor="accent5" w:themeShade="80"/>
        </w:rPr>
        <w:t>Education</w:t>
      </w:r>
    </w:p>
    <w:p w14:paraId="3400562E" w14:textId="708F5D8C" w:rsidR="00BA2FE7" w:rsidRPr="00F3575A" w:rsidRDefault="00F3575A" w:rsidP="0457C927">
      <w:pPr>
        <w:tabs>
          <w:tab w:val="left" w:pos="4536"/>
        </w:tabs>
        <w:spacing w:line="360" w:lineRule="auto"/>
        <w:ind w:left="4536" w:hanging="4536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Monitoring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Compliance:</w:t>
      </w:r>
      <w:r>
        <w:tab/>
      </w:r>
      <w:r w:rsidR="57BCC6E9" w:rsidRPr="0457C927">
        <w:rPr>
          <w:rFonts w:ascii="Century Gothic" w:eastAsia="Century Gothic" w:hAnsi="Century Gothic" w:cs="Century Gothic"/>
          <w:color w:val="1F3864" w:themeColor="accent5" w:themeShade="80"/>
        </w:rPr>
        <w:t>Head</w:t>
      </w:r>
      <w:r w:rsidR="0EDE2A77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75D81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75D81" w:rsidRPr="0457C927">
        <w:rPr>
          <w:rFonts w:ascii="Century Gothic" w:eastAsia="Century Gothic" w:hAnsi="Century Gothic" w:cs="Century Gothic"/>
          <w:color w:val="1F3864" w:themeColor="accent5" w:themeShade="80"/>
        </w:rPr>
        <w:t>Higher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075D81" w:rsidRPr="0457C927">
        <w:rPr>
          <w:rFonts w:ascii="Century Gothic" w:eastAsia="Century Gothic" w:hAnsi="Century Gothic" w:cs="Century Gothic"/>
          <w:color w:val="1F3864" w:themeColor="accent5" w:themeShade="80"/>
        </w:rPr>
        <w:t>Education</w:t>
      </w:r>
      <w:r w:rsidR="00BA2FE7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, </w:t>
      </w:r>
      <w:r w:rsidR="00BE5810" w:rsidRPr="0457C927">
        <w:rPr>
          <w:rFonts w:ascii="Century Gothic" w:eastAsia="Century Gothic" w:hAnsi="Century Gothic" w:cs="Century Gothic"/>
          <w:color w:val="1F3864" w:themeColor="accent5" w:themeShade="80"/>
        </w:rPr>
        <w:t>VP Quality of Education</w:t>
      </w:r>
    </w:p>
    <w:p w14:paraId="755DE1FD" w14:textId="256C6032" w:rsidR="00C353A7" w:rsidRPr="00F3575A" w:rsidRDefault="00C353A7" w:rsidP="0457C927">
      <w:pPr>
        <w:tabs>
          <w:tab w:val="left" w:pos="4536"/>
        </w:tabs>
        <w:spacing w:line="360" w:lineRule="auto"/>
        <w:ind w:left="4536" w:hanging="4536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Review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Timeline:</w:t>
      </w:r>
      <w:r>
        <w:tab/>
      </w:r>
      <w:r w:rsidR="001E107E" w:rsidRPr="0457C927">
        <w:rPr>
          <w:rFonts w:ascii="Century Gothic" w:eastAsia="Century Gothic" w:hAnsi="Century Gothic" w:cs="Century Gothic"/>
          <w:color w:val="1F3864" w:themeColor="accent5" w:themeShade="80"/>
        </w:rPr>
        <w:t>Annually</w:t>
      </w:r>
    </w:p>
    <w:p w14:paraId="13F7A764" w14:textId="7A1423C4" w:rsidR="00F3575A" w:rsidRDefault="00F3575A" w:rsidP="0457C927">
      <w:pPr>
        <w:tabs>
          <w:tab w:val="left" w:pos="4536"/>
        </w:tabs>
        <w:spacing w:line="360" w:lineRule="auto"/>
        <w:ind w:left="4536" w:hanging="4536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Synopsis:</w:t>
      </w:r>
    </w:p>
    <w:p w14:paraId="71AD08EA" w14:textId="61FF3C61" w:rsidR="001E107E" w:rsidRDefault="2990D1C5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Derby </w:t>
      </w:r>
      <w:r w:rsidR="001E107E" w:rsidRPr="0457C927">
        <w:rPr>
          <w:rFonts w:ascii="Century Gothic" w:eastAsia="Century Gothic" w:hAnsi="Century Gothic" w:cs="Century Gothic"/>
          <w:color w:val="1F3864" w:themeColor="accent5" w:themeShade="80"/>
        </w:rPr>
        <w:t>College</w:t>
      </w:r>
      <w:r w:rsidR="6E68336A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Group (DCG)</w:t>
      </w:r>
      <w:r w:rsidR="001E107E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operates a rigorous system of internal moderation to guarantee fair assessment that complies with</w:t>
      </w:r>
      <w:r w:rsidR="00575D39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575D39" w:rsidRPr="00CF54CC">
        <w:rPr>
          <w:rFonts w:ascii="Century Gothic" w:eastAsia="Century Gothic" w:hAnsi="Century Gothic" w:cs="Century Gothic"/>
          <w:color w:val="1F3864" w:themeColor="accent5" w:themeShade="80"/>
        </w:rPr>
        <w:t>all related</w:t>
      </w:r>
      <w:r w:rsidR="001E107E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awarding body requirements. It is recognised, however, that there could be exceptional circumstances when individual students or groups may wish to appeal against recommendations or decisions relating to assessment.</w:t>
      </w:r>
    </w:p>
    <w:p w14:paraId="68D5B2E8" w14:textId="7ABCFA77" w:rsidR="00B92F73" w:rsidRPr="00B92F73" w:rsidRDefault="00121FD1" w:rsidP="0457C927">
      <w:pPr>
        <w:pStyle w:val="Heading1"/>
        <w:numPr>
          <w:ilvl w:val="0"/>
          <w:numId w:val="0"/>
        </w:numPr>
        <w:spacing w:line="360" w:lineRule="auto"/>
        <w:ind w:left="357" w:hanging="35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Classification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463F67"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463F67" w:rsidRPr="0457C927">
        <w:rPr>
          <w:rFonts w:ascii="Century Gothic" w:eastAsia="Century Gothic" w:hAnsi="Century Gothic" w:cs="Century Gothic"/>
          <w:color w:val="1F3864" w:themeColor="accent5" w:themeShade="80"/>
        </w:rPr>
        <w:t>Publication</w:t>
      </w:r>
    </w:p>
    <w:p w14:paraId="166C6208" w14:textId="369F5EDA" w:rsidR="00B46DF1" w:rsidRDefault="00E8613F" w:rsidP="0457C927">
      <w:pPr>
        <w:pStyle w:val="Heading2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Classification</w:t>
      </w:r>
    </w:p>
    <w:p w14:paraId="1D804F4D" w14:textId="4C3E5B3E" w:rsidR="00E81F57" w:rsidRDefault="00E81F57" w:rsidP="0457C92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3706D1" w:rsidRPr="0457C927">
        <w:rPr>
          <w:rFonts w:ascii="Century Gothic" w:eastAsia="Century Gothic" w:hAnsi="Century Gothic" w:cs="Century Gothic"/>
          <w:color w:val="1F3864" w:themeColor="accent5" w:themeShade="80"/>
        </w:rPr>
        <w:t>Classified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(NA)</w:t>
      </w:r>
    </w:p>
    <w:p w14:paraId="52ABAC7C" w14:textId="70C84926" w:rsidR="00D011B3" w:rsidRDefault="00BB32E6" w:rsidP="0457C927">
      <w:pPr>
        <w:pStyle w:val="Heading2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Publication</w:t>
      </w:r>
    </w:p>
    <w:p w14:paraId="610964ED" w14:textId="77777777" w:rsidR="00BC5513" w:rsidRPr="00BC5513" w:rsidRDefault="00BC5513" w:rsidP="0457C92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Intranet – Policy portal</w:t>
      </w:r>
    </w:p>
    <w:p w14:paraId="4071C2B9" w14:textId="34598796" w:rsidR="00BC5513" w:rsidRPr="00BC5513" w:rsidRDefault="001E107E" w:rsidP="0457C92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Website – HE page</w:t>
      </w:r>
    </w:p>
    <w:p w14:paraId="7ED74F10" w14:textId="36D2AF1A" w:rsidR="007D5790" w:rsidRDefault="007D5790" w:rsidP="0457C927">
      <w:pPr>
        <w:pStyle w:val="Heading2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Empowering/related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legislative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and/or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authoritative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references:</w:t>
      </w:r>
    </w:p>
    <w:p w14:paraId="4B9438BC" w14:textId="287C6D5E" w:rsidR="00E059E2" w:rsidRPr="00E059E2" w:rsidRDefault="00E059E2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UK Quality Code for Higher Education</w:t>
      </w:r>
      <w:r w:rsidR="00575D39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Office for Students (OfS) and or their designated quality body. Referenced to DfE.</w:t>
      </w:r>
    </w:p>
    <w:p w14:paraId="20A85B55" w14:textId="1B542589" w:rsidR="007D5790" w:rsidRDefault="007D5790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0"/>
        </w:rPr>
      </w:pPr>
    </w:p>
    <w:p w14:paraId="397600A6" w14:textId="490EB9B2" w:rsidR="00493C80" w:rsidRPr="00493C80" w:rsidRDefault="00127654" w:rsidP="0457C927">
      <w:pPr>
        <w:pStyle w:val="Heading1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Periodic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Review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/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Change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History</w:t>
      </w:r>
    </w:p>
    <w:p w14:paraId="0D709E50" w14:textId="09FC4949" w:rsidR="002E6BEE" w:rsidRPr="006A76D0" w:rsidRDefault="00787818" w:rsidP="0457C927">
      <w:pPr>
        <w:pStyle w:val="NoSpacing"/>
        <w:spacing w:line="360" w:lineRule="auto"/>
        <w:jc w:val="both"/>
        <w:rPr>
          <w:rFonts w:ascii="Century Gothic" w:eastAsia="Century Gothic" w:hAnsi="Century Gothic" w:cs="Century Gothic"/>
          <w:i/>
          <w:iCs/>
          <w:color w:val="1F3864" w:themeColor="accent5" w:themeShade="80"/>
          <w:sz w:val="16"/>
          <w:szCs w:val="16"/>
        </w:rPr>
      </w:pP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Note: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Please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make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it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clear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if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change/review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relates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procedures,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guidelines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associated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documents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only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it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rational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for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new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substantive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review</w:t>
      </w:r>
    </w:p>
    <w:p w14:paraId="0A485F36" w14:textId="77777777" w:rsidR="00042912" w:rsidRPr="00ED1F1A" w:rsidRDefault="00042912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tbl>
      <w:tblPr>
        <w:tblStyle w:val="GridTable4-Accent3"/>
        <w:tblpPr w:leftFromText="180" w:rightFromText="180" w:vertAnchor="text" w:horzAnchor="margin" w:tblpXSpec="center" w:tblpY="42"/>
        <w:tblW w:w="10218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819"/>
        <w:gridCol w:w="1559"/>
        <w:gridCol w:w="1151"/>
      </w:tblGrid>
      <w:tr w:rsidR="00042912" w:rsidRPr="00ED1F1A" w14:paraId="0C4DBDDF" w14:textId="77777777" w:rsidTr="6342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  <w:hideMark/>
          </w:tcPr>
          <w:p w14:paraId="35DB5A63" w14:textId="740D6AFE" w:rsidR="00042912" w:rsidRPr="007672D1" w:rsidRDefault="3EEEE1D7" w:rsidP="2BF391C5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8"/>
                <w:szCs w:val="18"/>
              </w:rPr>
            </w:pP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lastRenderedPageBreak/>
              <w:t>Version</w:t>
            </w:r>
          </w:p>
        </w:tc>
        <w:tc>
          <w:tcPr>
            <w:tcW w:w="1560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3FF4EFEE" w14:textId="4E6617FA" w:rsidR="00042912" w:rsidRPr="007672D1" w:rsidRDefault="3EEEE1D7" w:rsidP="2BF391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8"/>
                <w:szCs w:val="18"/>
              </w:rPr>
            </w:pP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Reviewe</w:t>
            </w:r>
            <w:r w:rsidR="653C09F1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d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="653C09F1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/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Modified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b</w:t>
            </w:r>
            <w:r w:rsidR="653C09F1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y:</w:t>
            </w:r>
          </w:p>
        </w:tc>
        <w:tc>
          <w:tcPr>
            <w:tcW w:w="481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  <w:hideMark/>
          </w:tcPr>
          <w:p w14:paraId="77B4C9BD" w14:textId="428E99D4" w:rsidR="00042912" w:rsidRPr="007672D1" w:rsidRDefault="3EEEE1D7" w:rsidP="2BF391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8"/>
                <w:szCs w:val="18"/>
              </w:rPr>
            </w:pP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Change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History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  <w:hideMark/>
          </w:tcPr>
          <w:p w14:paraId="6DAC4D98" w14:textId="7583FAEB" w:rsidR="00042912" w:rsidRPr="007672D1" w:rsidRDefault="3EEEE1D7" w:rsidP="2BF391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8"/>
                <w:szCs w:val="18"/>
              </w:rPr>
            </w:pP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Advisory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committee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/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groups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or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specialists</w:t>
            </w:r>
          </w:p>
        </w:tc>
        <w:tc>
          <w:tcPr>
            <w:tcW w:w="1151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  <w:hideMark/>
          </w:tcPr>
          <w:p w14:paraId="7F0F62C9" w14:textId="1FC5C735" w:rsidR="00042912" w:rsidRPr="007672D1" w:rsidRDefault="3EEEE1D7" w:rsidP="2BF391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8"/>
                <w:szCs w:val="18"/>
              </w:rPr>
            </w:pP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Review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/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Meeting</w:t>
            </w:r>
            <w:r w:rsidR="001D782F"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 xml:space="preserve"> </w:t>
            </w:r>
            <w:r w:rsidRPr="2BF391C5">
              <w:rPr>
                <w:rFonts w:ascii="Century Gothic" w:eastAsia="Century Gothic" w:hAnsi="Century Gothic" w:cs="Century Gothic"/>
                <w:color w:val="1F3864" w:themeColor="accent5" w:themeShade="80"/>
                <w:sz w:val="18"/>
                <w:szCs w:val="18"/>
              </w:rPr>
              <w:t>Date/s</w:t>
            </w:r>
          </w:p>
        </w:tc>
      </w:tr>
      <w:tr w:rsidR="00042912" w:rsidRPr="00CB369C" w14:paraId="5CC6BACF" w14:textId="77777777" w:rsidTr="6342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59D0E95B" w14:textId="1CDC0D6D" w:rsidR="00042912" w:rsidRPr="001452D8" w:rsidRDefault="5F18A8D3" w:rsidP="0457C927">
            <w:pPr>
              <w:spacing w:line="360" w:lineRule="auto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  <w:t>New</w:t>
            </w:r>
          </w:p>
        </w:tc>
        <w:tc>
          <w:tcPr>
            <w:tcW w:w="1560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3E952BB7" w14:textId="6357A71A" w:rsidR="00042912" w:rsidRPr="001452D8" w:rsidRDefault="0082229A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Director</w:t>
            </w:r>
            <w:r w:rsidR="001D782F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</w:t>
            </w: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of</w:t>
            </w:r>
            <w:r w:rsidR="001D782F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</w:t>
            </w: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Quality</w:t>
            </w:r>
            <w:r w:rsidR="001D782F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</w:t>
            </w: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and</w:t>
            </w:r>
            <w:r w:rsidR="001D782F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</w:t>
            </w: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Director</w:t>
            </w:r>
            <w:r w:rsidR="001D782F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</w:t>
            </w: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of</w:t>
            </w:r>
            <w:r w:rsidR="001D782F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</w:t>
            </w: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Higher</w:t>
            </w:r>
            <w:r w:rsidR="001D782F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</w:t>
            </w: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Education</w:t>
            </w:r>
          </w:p>
        </w:tc>
        <w:tc>
          <w:tcPr>
            <w:tcW w:w="481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7BBAD548" w14:textId="3DF4698D" w:rsidR="00042912" w:rsidRPr="001452D8" w:rsidRDefault="0082229A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Agreed</w:t>
            </w:r>
            <w:r w:rsidR="001D782F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</w:t>
            </w: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policy</w:t>
            </w:r>
          </w:p>
        </w:tc>
        <w:tc>
          <w:tcPr>
            <w:tcW w:w="155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49952823" w14:textId="10D4BEBF" w:rsidR="00042912" w:rsidRPr="001452D8" w:rsidRDefault="002F2516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HE Academic Board</w:t>
            </w:r>
          </w:p>
        </w:tc>
        <w:tc>
          <w:tcPr>
            <w:tcW w:w="1151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7A319FA7" w14:textId="02A98FF2" w:rsidR="00042912" w:rsidRPr="001452D8" w:rsidRDefault="0082229A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July</w:t>
            </w:r>
            <w:r w:rsidR="001D782F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</w:t>
            </w: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20</w:t>
            </w:r>
            <w:r w:rsidR="00B469F9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19</w:t>
            </w:r>
          </w:p>
        </w:tc>
      </w:tr>
      <w:tr w:rsidR="00042912" w:rsidRPr="00CB369C" w14:paraId="419E95CA" w14:textId="77777777" w:rsidTr="634235E2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4EF97BD4" w14:textId="7E9FA64E" w:rsidR="00042912" w:rsidRPr="001452D8" w:rsidRDefault="004E1DF4" w:rsidP="0457C927">
            <w:pPr>
              <w:spacing w:line="360" w:lineRule="auto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  <w:t>V</w:t>
            </w:r>
            <w:r w:rsidR="1F6B5F3F" w:rsidRPr="0457C927"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54104BAE" w14:textId="487BD2C3" w:rsidR="00042912" w:rsidRPr="001452D8" w:rsidRDefault="004E1DF4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Director of Higher Education</w:t>
            </w:r>
          </w:p>
        </w:tc>
        <w:tc>
          <w:tcPr>
            <w:tcW w:w="481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10343FFC" w14:textId="35476378" w:rsidR="00042912" w:rsidRPr="001452D8" w:rsidRDefault="004E1DF4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Full review, minor amends </w:t>
            </w:r>
            <w:r w:rsidR="009F5563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–</w:t>
            </w: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</w:t>
            </w:r>
            <w:r w:rsidR="00E806A9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title change in Section 5 Responsibilities. Section 10 Templates/Forms; </w:t>
            </w:r>
            <w:r w:rsidR="009F5563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reference</w:t>
            </w:r>
            <w:r w:rsidR="00E806A9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added</w:t>
            </w:r>
            <w:r w:rsidR="009F5563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to Academic Appeal form (webform on HE</w:t>
            </w:r>
            <w:r w:rsidR="001452D8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website and internal </w:t>
            </w:r>
            <w:r w:rsidR="002F2516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VLE</w:t>
            </w:r>
            <w:r w:rsidR="009F5563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3F875DFF" w14:textId="4CA64D53" w:rsidR="00042912" w:rsidRPr="001452D8" w:rsidRDefault="002F2516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HE Academic Board</w:t>
            </w:r>
          </w:p>
        </w:tc>
        <w:tc>
          <w:tcPr>
            <w:tcW w:w="1151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472DC2FF" w14:textId="669E82ED" w:rsidR="00042912" w:rsidRPr="001452D8" w:rsidRDefault="00BA3E72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November 2020</w:t>
            </w:r>
          </w:p>
        </w:tc>
      </w:tr>
      <w:tr w:rsidR="007D5790" w:rsidRPr="00CB369C" w14:paraId="3DABB722" w14:textId="77777777" w:rsidTr="6342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359AD303" w14:textId="7E9FBCA0" w:rsidR="007D5790" w:rsidRPr="001452D8" w:rsidRDefault="64DC0FA4" w:rsidP="0457C927">
            <w:pPr>
              <w:spacing w:line="360" w:lineRule="auto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  <w:t xml:space="preserve">V2 </w:t>
            </w:r>
          </w:p>
        </w:tc>
        <w:tc>
          <w:tcPr>
            <w:tcW w:w="1560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0F9DE2B3" w14:textId="1E91FCCE" w:rsidR="007D5790" w:rsidRPr="001452D8" w:rsidRDefault="64DC0FA4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Office for Students Compliance Officer/ Head of Higher Education</w:t>
            </w:r>
          </w:p>
        </w:tc>
        <w:tc>
          <w:tcPr>
            <w:tcW w:w="481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3C1FE42D" w14:textId="718ADAC2" w:rsidR="007D5790" w:rsidRPr="001452D8" w:rsidRDefault="21414A5F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Policy Review </w:t>
            </w:r>
          </w:p>
          <w:p w14:paraId="370EA0E1" w14:textId="454B4E91" w:rsidR="007D5790" w:rsidRPr="001452D8" w:rsidRDefault="21414A5F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Updated to reflect changes in job titles </w:t>
            </w:r>
          </w:p>
        </w:tc>
        <w:tc>
          <w:tcPr>
            <w:tcW w:w="155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473EA5E3" w14:textId="77777777" w:rsidR="007D5790" w:rsidRPr="001452D8" w:rsidRDefault="007D5790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496EE09D" w14:textId="77777777" w:rsidR="007D5790" w:rsidRPr="001452D8" w:rsidRDefault="007D5790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</w:p>
        </w:tc>
      </w:tr>
      <w:tr w:rsidR="007D5790" w:rsidRPr="00CB369C" w14:paraId="133C0CA1" w14:textId="77777777" w:rsidTr="634235E2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266CEABB" w14:textId="7CCF2820" w:rsidR="007D5790" w:rsidRPr="001452D8" w:rsidRDefault="47EA78FB" w:rsidP="0457C927">
            <w:pPr>
              <w:spacing w:line="360" w:lineRule="auto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  <w:t>V3</w:t>
            </w:r>
          </w:p>
        </w:tc>
        <w:tc>
          <w:tcPr>
            <w:tcW w:w="1560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3B75BE7B" w14:textId="5E03C289" w:rsidR="007D5790" w:rsidRPr="001452D8" w:rsidRDefault="47EA78FB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Office for Students Compliance and Policy Officer </w:t>
            </w:r>
          </w:p>
        </w:tc>
        <w:tc>
          <w:tcPr>
            <w:tcW w:w="481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2F195784" w14:textId="6BFCD00C" w:rsidR="007D5790" w:rsidRPr="001452D8" w:rsidRDefault="47EA78FB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Policy Review</w:t>
            </w:r>
            <w:r w:rsidR="4EF239C6"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 xml:space="preserve"> – no significant change</w:t>
            </w:r>
          </w:p>
        </w:tc>
        <w:tc>
          <w:tcPr>
            <w:tcW w:w="155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7A3F2CD4" w14:textId="1E1A2732" w:rsidR="007D5790" w:rsidRPr="001452D8" w:rsidRDefault="4EF239C6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Head of HE</w:t>
            </w:r>
          </w:p>
        </w:tc>
        <w:tc>
          <w:tcPr>
            <w:tcW w:w="1151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64A7C4F6" w14:textId="31CAA006" w:rsidR="007D5790" w:rsidRPr="001452D8" w:rsidRDefault="4EF239C6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September 2022</w:t>
            </w:r>
          </w:p>
        </w:tc>
      </w:tr>
      <w:tr w:rsidR="007D5790" w:rsidRPr="00CB369C" w14:paraId="39F53ED0" w14:textId="77777777" w:rsidTr="6342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56E8D1D1" w14:textId="68B8591A" w:rsidR="007D5790" w:rsidRPr="001452D8" w:rsidRDefault="11503523" w:rsidP="0457C927">
            <w:pPr>
              <w:spacing w:line="360" w:lineRule="auto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  <w:t>V4</w:t>
            </w:r>
          </w:p>
        </w:tc>
        <w:tc>
          <w:tcPr>
            <w:tcW w:w="1560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34C7CDD6" w14:textId="449260EB" w:rsidR="11503523" w:rsidRDefault="11503523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Head of HE</w:t>
            </w:r>
          </w:p>
        </w:tc>
        <w:tc>
          <w:tcPr>
            <w:tcW w:w="481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6754BE7F" w14:textId="6BFCD00C" w:rsidR="0D0A6A93" w:rsidRDefault="0D0A6A93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Policy Review – no significant change</w:t>
            </w:r>
          </w:p>
        </w:tc>
        <w:tc>
          <w:tcPr>
            <w:tcW w:w="155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5522C5CC" w14:textId="1E1A2732" w:rsidR="0D0A6A93" w:rsidRDefault="0D0A6A93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Head of HE</w:t>
            </w:r>
          </w:p>
        </w:tc>
        <w:tc>
          <w:tcPr>
            <w:tcW w:w="1151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auto"/>
          </w:tcPr>
          <w:p w14:paraId="0C8E82A3" w14:textId="77B61047" w:rsidR="30FC8EA4" w:rsidRDefault="30FC8EA4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December 2023</w:t>
            </w:r>
          </w:p>
        </w:tc>
      </w:tr>
      <w:tr w:rsidR="00964B41" w:rsidRPr="00CB369C" w14:paraId="26B66C95" w14:textId="77777777" w:rsidTr="634235E2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2D958F82" w14:textId="3E89E546" w:rsidR="00964B41" w:rsidRPr="00CE5EEE" w:rsidRDefault="00964B41" w:rsidP="0457C927">
            <w:pPr>
              <w:spacing w:line="360" w:lineRule="auto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  <w:t>V5</w:t>
            </w:r>
          </w:p>
        </w:tc>
        <w:tc>
          <w:tcPr>
            <w:tcW w:w="1560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5DAF37CE" w14:textId="4B2D9588" w:rsidR="00964B41" w:rsidRPr="00CE5EEE" w:rsidRDefault="00964B41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Head of HE Quality Assurance</w:t>
            </w:r>
          </w:p>
        </w:tc>
        <w:tc>
          <w:tcPr>
            <w:tcW w:w="481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25FCC1EA" w14:textId="2ECE59D9" w:rsidR="00964B41" w:rsidRPr="00CE5EEE" w:rsidRDefault="00964B41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Policy review – no significant change</w:t>
            </w:r>
          </w:p>
        </w:tc>
        <w:tc>
          <w:tcPr>
            <w:tcW w:w="155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6CA7ECF2" w14:textId="3D59B2B3" w:rsidR="00964B41" w:rsidRPr="00CE5EEE" w:rsidRDefault="00964B41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0457C927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Head of HE Quality Assurance</w:t>
            </w:r>
          </w:p>
        </w:tc>
        <w:tc>
          <w:tcPr>
            <w:tcW w:w="1151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</w:tcPr>
          <w:p w14:paraId="0139EFF0" w14:textId="449A6050" w:rsidR="00964B41" w:rsidRPr="001452D8" w:rsidRDefault="00964B41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634235E2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January 202</w:t>
            </w:r>
            <w:r w:rsidR="0CE02CF8" w:rsidRPr="634235E2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5</w:t>
            </w:r>
          </w:p>
        </w:tc>
      </w:tr>
      <w:tr w:rsidR="00CF54CC" w:rsidRPr="00CB369C" w14:paraId="4F65B9BF" w14:textId="77777777" w:rsidTr="6342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189E4FFF" w14:textId="37D68F44" w:rsidR="00CF54CC" w:rsidRPr="0457C927" w:rsidRDefault="00CF54CC" w:rsidP="0457C927">
            <w:pPr>
              <w:spacing w:line="360" w:lineRule="auto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</w:pPr>
            <w:r w:rsidRPr="634235E2"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  <w:t>V6</w:t>
            </w:r>
          </w:p>
        </w:tc>
        <w:tc>
          <w:tcPr>
            <w:tcW w:w="1560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0C6FB937" w14:textId="62145FF8" w:rsidR="00CF54CC" w:rsidRPr="0457C927" w:rsidRDefault="00CF54CC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634235E2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Director of Hig</w:t>
            </w:r>
            <w:r w:rsidR="388CE011" w:rsidRPr="634235E2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</w:t>
            </w:r>
            <w:r w:rsidRPr="634235E2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er Education</w:t>
            </w:r>
          </w:p>
        </w:tc>
        <w:tc>
          <w:tcPr>
            <w:tcW w:w="481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352122B6" w14:textId="61F28378" w:rsidR="00CF54CC" w:rsidRPr="0457C927" w:rsidRDefault="00CF54CC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Policy Review – minor changes to terminology and job titles</w:t>
            </w:r>
          </w:p>
        </w:tc>
        <w:tc>
          <w:tcPr>
            <w:tcW w:w="155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533D6EA4" w14:textId="60FA2D36" w:rsidR="00CF54CC" w:rsidRPr="0457C927" w:rsidRDefault="00CF54CC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634235E2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Director of Hig</w:t>
            </w:r>
            <w:r w:rsidR="2C0DC3B9" w:rsidRPr="634235E2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</w:t>
            </w:r>
            <w:r w:rsidRPr="634235E2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er Education</w:t>
            </w:r>
          </w:p>
        </w:tc>
        <w:tc>
          <w:tcPr>
            <w:tcW w:w="1151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76CA7133" w14:textId="733F17CF" w:rsidR="00CF54CC" w:rsidRPr="0457C927" w:rsidRDefault="00CF54CC" w:rsidP="0457C9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Next Review Feb 2026</w:t>
            </w:r>
          </w:p>
        </w:tc>
      </w:tr>
      <w:tr w:rsidR="0009030C" w:rsidRPr="00CB369C" w14:paraId="6065044A" w14:textId="77777777" w:rsidTr="634235E2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5743CCE8" w14:textId="417C6AD5" w:rsidR="0009030C" w:rsidRDefault="0009030C" w:rsidP="0457C927">
            <w:pPr>
              <w:spacing w:line="360" w:lineRule="auto"/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</w:pPr>
            <w:r w:rsidRPr="634235E2">
              <w:rPr>
                <w:rFonts w:ascii="Century Gothic" w:eastAsia="Century Gothic" w:hAnsi="Century Gothic" w:cs="Century Gothic"/>
                <w:b w:val="0"/>
                <w:bCs w:val="0"/>
                <w:color w:val="1F3864" w:themeColor="accent5" w:themeShade="80"/>
                <w:sz w:val="16"/>
                <w:szCs w:val="16"/>
              </w:rPr>
              <w:t>V7</w:t>
            </w:r>
          </w:p>
        </w:tc>
        <w:tc>
          <w:tcPr>
            <w:tcW w:w="1560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5F18BCD1" w14:textId="48279746" w:rsidR="0009030C" w:rsidRDefault="0009030C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Head of HE QA</w:t>
            </w:r>
          </w:p>
        </w:tc>
        <w:tc>
          <w:tcPr>
            <w:tcW w:w="481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53108447" w14:textId="4590F5BE" w:rsidR="0009030C" w:rsidRDefault="0009030C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Policy Review no changes</w:t>
            </w:r>
          </w:p>
        </w:tc>
        <w:tc>
          <w:tcPr>
            <w:tcW w:w="1559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3BAF7647" w14:textId="1D2AD780" w:rsidR="0009030C" w:rsidRPr="00CF54CC" w:rsidRDefault="0009030C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Head of HE</w:t>
            </w:r>
          </w:p>
        </w:tc>
        <w:tc>
          <w:tcPr>
            <w:tcW w:w="1151" w:type="dxa"/>
            <w:tcBorders>
              <w:top w:val="double" w:sz="12" w:space="0" w:color="1F3864" w:themeColor="accent5" w:themeShade="80"/>
              <w:left w:val="double" w:sz="12" w:space="0" w:color="1F3864" w:themeColor="accent5" w:themeShade="80"/>
              <w:bottom w:val="double" w:sz="12" w:space="0" w:color="1F3864" w:themeColor="accent5" w:themeShade="80"/>
              <w:right w:val="double" w:sz="12" w:space="0" w:color="1F3864" w:themeColor="accent5" w:themeShade="80"/>
            </w:tcBorders>
            <w:shd w:val="clear" w:color="auto" w:fill="FEEACA"/>
          </w:tcPr>
          <w:p w14:paraId="55595D81" w14:textId="38A51BB7" w:rsidR="0009030C" w:rsidRDefault="0009030C" w:rsidP="0457C9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</w:pPr>
            <w:r w:rsidRPr="634235E2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February 202</w:t>
            </w:r>
            <w:r w:rsidR="2E0304B8" w:rsidRPr="634235E2">
              <w:rPr>
                <w:rFonts w:ascii="Century Gothic" w:eastAsia="Century Gothic" w:hAnsi="Century Gothic" w:cs="Century Gothic"/>
                <w:color w:val="1F3864" w:themeColor="accent5" w:themeShade="80"/>
                <w:sz w:val="16"/>
                <w:szCs w:val="16"/>
              </w:rPr>
              <w:t>6</w:t>
            </w:r>
          </w:p>
        </w:tc>
      </w:tr>
    </w:tbl>
    <w:p w14:paraId="60C521D4" w14:textId="5616B1DE" w:rsidR="00F668CD" w:rsidRPr="00CB369C" w:rsidRDefault="00F668CD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br w:type="page"/>
      </w:r>
    </w:p>
    <w:p w14:paraId="39CCD7DA" w14:textId="1C2C34A2" w:rsidR="0082229A" w:rsidRPr="0085491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  <w:r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z w:val="22"/>
          <w:szCs w:val="22"/>
        </w:rPr>
        <w:lastRenderedPageBreak/>
        <w:t>EQUALITY</w:t>
      </w:r>
      <w:r w:rsidR="001D782F"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z w:val="22"/>
          <w:szCs w:val="22"/>
        </w:rPr>
        <w:t>DIVERSITY</w:t>
      </w:r>
      <w:r w:rsidR="001D782F"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z w:val="22"/>
          <w:szCs w:val="22"/>
        </w:rPr>
        <w:t>STATEMENT</w:t>
      </w:r>
      <w:r w:rsidR="001D782F"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  <w:sz w:val="22"/>
          <w:szCs w:val="22"/>
        </w:rPr>
        <w:t xml:space="preserve"> </w:t>
      </w:r>
    </w:p>
    <w:p w14:paraId="028196F9" w14:textId="77777777" w:rsidR="0082229A" w:rsidRPr="0085491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</w:p>
    <w:p w14:paraId="3FB264AB" w14:textId="0E2CC363" w:rsidR="0082229A" w:rsidRPr="0082229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b/>
          <w:bCs/>
          <w:color w:val="1F3864" w:themeColor="accent5" w:themeShade="80"/>
          <w:sz w:val="22"/>
          <w:szCs w:val="22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Derby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College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Group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="1666AAB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(DCG)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strives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treat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its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members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visitors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fairly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aims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eliminate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unjustifiable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discrimination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grounds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gender,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race,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nationality,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ethnic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national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origin,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political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beliefs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practices,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disability,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marital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status,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family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circumstances,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sexual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orientation,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spent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criminal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convictions,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age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other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inappropriate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grounds.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</w:p>
    <w:p w14:paraId="5BF602C3" w14:textId="2CE8F9C9" w:rsidR="00943425" w:rsidRDefault="00943425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Statement</w:t>
      </w:r>
    </w:p>
    <w:p w14:paraId="724104AE" w14:textId="6989A157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60632AF0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develop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maintain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fair,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reliable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open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scrutiny.</w:t>
      </w:r>
    </w:p>
    <w:p w14:paraId="435D74E8" w14:textId="77777777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735ABF1F" w14:textId="663E1863" w:rsidR="0082229A" w:rsidRPr="0085491A" w:rsidRDefault="704C608C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operates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rigorous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system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internal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moderation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guarantee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fair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complies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with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awarding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body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requirements.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recognised,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however,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could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exceptional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when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individual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groups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may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wish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against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recommendations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decisions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relating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assessment.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following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procedure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outlines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action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may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taken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such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circumstances.</w:t>
      </w:r>
    </w:p>
    <w:p w14:paraId="7B62F61A" w14:textId="77777777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1E884EBD" w14:textId="6492CE71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cases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2DDB8947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’s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process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supports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supplements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process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organisations/institutions.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While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required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follow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1E4995F5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’s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internal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first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instance,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have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final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right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directly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relevant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organisation/institution.</w:t>
      </w:r>
    </w:p>
    <w:p w14:paraId="6E4175E9" w14:textId="77777777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60554FE6" w14:textId="0CA3CE6A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Pearson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Higher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Nationals,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request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support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from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575D39" w:rsidRPr="00CF54CC">
        <w:rPr>
          <w:rFonts w:ascii="Century Gothic" w:eastAsia="Century Gothic" w:hAnsi="Century Gothic" w:cs="Century Gothic"/>
          <w:color w:val="1F3864" w:themeColor="accent5" w:themeShade="80"/>
        </w:rPr>
        <w:t>HE</w:t>
      </w:r>
      <w:r w:rsidR="00575D39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Quality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Nominee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proofErr w:type="gramStart"/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order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proofErr w:type="gramEnd"/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access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understand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organisation’s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process.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Likewise,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575D39" w:rsidRPr="00CF54CC">
        <w:rPr>
          <w:rFonts w:ascii="Century Gothic" w:eastAsia="Century Gothic" w:hAnsi="Century Gothic" w:cs="Century Gothic"/>
          <w:color w:val="1F3864" w:themeColor="accent5" w:themeShade="80"/>
        </w:rPr>
        <w:t>Head of HE Quality Assurance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available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provide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similar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support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related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proofErr w:type="gramStart"/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University</w:t>
      </w:r>
      <w:proofErr w:type="gramEnd"/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validated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programmes.</w:t>
      </w:r>
    </w:p>
    <w:p w14:paraId="43E705E4" w14:textId="77777777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10D9E5C8" w14:textId="78274DB0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important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ensure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which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feel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could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adversely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affect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their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performance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recorded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accordance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with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published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within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deadlines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set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down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those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procedures:</w:t>
      </w:r>
    </w:p>
    <w:p w14:paraId="1250D6FE" w14:textId="77777777" w:rsidR="0082229A" w:rsidRPr="0085491A" w:rsidRDefault="0082229A" w:rsidP="0457C927">
      <w:pPr>
        <w:spacing w:line="360" w:lineRule="auto"/>
        <w:ind w:left="737" w:hanging="73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42547DA1" w14:textId="7626EB9D" w:rsidR="0082229A" w:rsidRPr="0085491A" w:rsidRDefault="0082229A" w:rsidP="0457C927">
      <w:pPr>
        <w:widowControl w:val="0"/>
        <w:numPr>
          <w:ilvl w:val="0"/>
          <w:numId w:val="10"/>
        </w:numPr>
        <w:suppressAutoHyphens/>
        <w:spacing w:line="360" w:lineRule="auto"/>
        <w:ind w:left="1134" w:right="340" w:hanging="39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Mitigating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</w:t>
      </w:r>
    </w:p>
    <w:p w14:paraId="3E645B89" w14:textId="37F40999" w:rsidR="0082229A" w:rsidRPr="0085491A" w:rsidRDefault="0082229A" w:rsidP="0457C927">
      <w:pPr>
        <w:widowControl w:val="0"/>
        <w:numPr>
          <w:ilvl w:val="0"/>
          <w:numId w:val="10"/>
        </w:numPr>
        <w:suppressAutoHyphens/>
        <w:spacing w:line="360" w:lineRule="auto"/>
        <w:ind w:left="1134" w:right="340" w:hanging="39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Late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Submission</w:t>
      </w:r>
    </w:p>
    <w:p w14:paraId="2B186CA4" w14:textId="77777777" w:rsidR="0082229A" w:rsidRPr="0085491A" w:rsidRDefault="0082229A" w:rsidP="0457C927">
      <w:pPr>
        <w:widowControl w:val="0"/>
        <w:numPr>
          <w:ilvl w:val="0"/>
          <w:numId w:val="10"/>
        </w:numPr>
        <w:suppressAutoHyphens/>
        <w:spacing w:line="360" w:lineRule="auto"/>
        <w:ind w:left="1134" w:right="340" w:hanging="39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Complaints</w:t>
      </w:r>
    </w:p>
    <w:p w14:paraId="630C8932" w14:textId="77777777" w:rsidR="0082229A" w:rsidRPr="0085491A" w:rsidRDefault="0082229A" w:rsidP="0457C927">
      <w:pPr>
        <w:spacing w:line="360" w:lineRule="auto"/>
        <w:ind w:right="34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72F83726" w14:textId="30DF8D0E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lastRenderedPageBreak/>
        <w:t>It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unlikely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basis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successful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has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reported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followed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appropriate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procedures.</w:t>
      </w:r>
    </w:p>
    <w:p w14:paraId="3768B3E7" w14:textId="77777777" w:rsidR="0082229A" w:rsidRPr="0085491A" w:rsidRDefault="0082229A" w:rsidP="0457C927">
      <w:pPr>
        <w:spacing w:line="360" w:lineRule="auto"/>
        <w:ind w:left="737" w:hanging="73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46CA6B93" w14:textId="643DDFEC" w:rsidR="0082229A" w:rsidRPr="0085491A" w:rsidRDefault="55D051D5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expects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appreciate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always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result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their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preferred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conclusion.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Regardless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decision,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informed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outcome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formal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reasons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for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it.</w:t>
      </w:r>
    </w:p>
    <w:p w14:paraId="67A7227F" w14:textId="77777777" w:rsidR="00943425" w:rsidRDefault="00943425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Definitions</w:t>
      </w:r>
    </w:p>
    <w:p w14:paraId="118082DB" w14:textId="0BB9D916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This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document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sets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out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42E9D28E" w:rsidRPr="00CF54CC">
        <w:rPr>
          <w:rFonts w:ascii="Century Gothic" w:eastAsia="Century Gothic" w:hAnsi="Century Gothic" w:cs="Century Gothic"/>
          <w:color w:val="1F3864" w:themeColor="accent5" w:themeShade="80"/>
        </w:rPr>
        <w:t>the DCG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575D39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HE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applies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all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575D39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HE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575D39" w:rsidRPr="00CF54CC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.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It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sets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out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grounds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for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575D39" w:rsidRPr="00CF54CC">
        <w:rPr>
          <w:rFonts w:ascii="Century Gothic" w:eastAsia="Century Gothic" w:hAnsi="Century Gothic" w:cs="Century Gothic"/>
          <w:color w:val="1F3864" w:themeColor="accent5" w:themeShade="80"/>
        </w:rPr>
        <w:t>s</w:t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making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reporting.</w:t>
      </w:r>
    </w:p>
    <w:p w14:paraId="0A28D045" w14:textId="77777777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5ACAB032" w14:textId="4A06D56F" w:rsidR="0082229A" w:rsidRPr="0085491A" w:rsidRDefault="005F434F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request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from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result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decision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Board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Examiners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should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reviewed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because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believed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injustice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has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occurred.</w:t>
      </w:r>
    </w:p>
    <w:p w14:paraId="2CD652CB" w14:textId="77777777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32BD1FEC" w14:textId="033263E5" w:rsidR="00493C80" w:rsidRPr="0082229A" w:rsidRDefault="005F434F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omplaints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about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aspect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service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facility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covered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668DBB6D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's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Complaints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Procedure.</w:t>
      </w:r>
    </w:p>
    <w:p w14:paraId="7CA36820" w14:textId="77777777" w:rsidR="00943425" w:rsidRDefault="00943425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Principles</w:t>
      </w:r>
    </w:p>
    <w:p w14:paraId="6F9329FB" w14:textId="4F4FABE6" w:rsidR="0082229A" w:rsidRPr="0085491A" w:rsidRDefault="43F409E1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will,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considering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6CA7A667" w:rsidRPr="0457C927">
        <w:rPr>
          <w:rFonts w:ascii="Century Gothic" w:eastAsia="Century Gothic" w:hAnsi="Century Gothic" w:cs="Century Gothic"/>
          <w:color w:val="1F3864" w:themeColor="accent5" w:themeShade="80"/>
        </w:rPr>
        <w:t>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observe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rules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natural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justice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procedural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fairness,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namely:</w:t>
      </w:r>
    </w:p>
    <w:p w14:paraId="7BBE666F" w14:textId="77777777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526CB206" w14:textId="71103B76" w:rsidR="0082229A" w:rsidRPr="0085491A" w:rsidRDefault="0082229A" w:rsidP="0457C927">
      <w:pPr>
        <w:spacing w:after="113" w:line="360" w:lineRule="auto"/>
        <w:ind w:left="1417" w:right="340" w:hanging="68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(a)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whoever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takes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decisions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should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impartial,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meaning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should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personal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interest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outcome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case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should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likelihood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bias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part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member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Panel.</w:t>
      </w:r>
    </w:p>
    <w:p w14:paraId="2EF67A34" w14:textId="4E7DE3C5" w:rsidR="0082229A" w:rsidRPr="0085491A" w:rsidRDefault="0082229A" w:rsidP="0457C927">
      <w:pPr>
        <w:spacing w:line="360" w:lineRule="auto"/>
        <w:ind w:left="1417" w:right="340" w:hanging="68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(b)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Anybody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with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power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reach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decision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must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consider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case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fully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light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evidence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available.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Consequently,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Panel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empowered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consider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make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final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decision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them,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without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reference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back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Board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Examiners.</w:t>
      </w:r>
    </w:p>
    <w:p w14:paraId="40BAF78E" w14:textId="77777777" w:rsidR="0082229A" w:rsidRPr="0085491A" w:rsidRDefault="0082229A" w:rsidP="0457C927">
      <w:pPr>
        <w:spacing w:line="360" w:lineRule="auto"/>
        <w:ind w:left="1417" w:right="340" w:hanging="68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5FB7D42E" w14:textId="6ABE2D23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has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declared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disability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5334E43D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656723CD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endeavour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ensure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information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available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them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stages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appropriate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formats,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lastRenderedPageBreak/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reasonable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adjustments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made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associated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proceedings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accommodate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student’s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needs.</w:t>
      </w:r>
    </w:p>
    <w:p w14:paraId="2A53E17F" w14:textId="77777777" w:rsidR="0082229A" w:rsidRPr="0085491A" w:rsidRDefault="0082229A" w:rsidP="0457C927">
      <w:pPr>
        <w:spacing w:line="360" w:lineRule="auto"/>
        <w:ind w:right="34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6EFE977B" w14:textId="787BABD9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submits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Panel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925A01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(which will be via the Academic Quality and Standards Committee)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normally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permitted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continue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attendance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programme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which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registered,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pending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outcome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decision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which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relates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final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attend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ceremony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has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confirmed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wish.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Attendance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prejudice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Subsequently,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outcome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permits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receive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different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classification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degree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different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required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return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original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certificate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obtained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before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receiving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revised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certificate.</w:t>
      </w:r>
    </w:p>
    <w:p w14:paraId="38063B6D" w14:textId="77777777" w:rsidR="0082229A" w:rsidRPr="0085491A" w:rsidRDefault="0082229A" w:rsidP="0457C927">
      <w:pPr>
        <w:spacing w:line="360" w:lineRule="auto"/>
        <w:ind w:right="34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6222943F" w14:textId="08304912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has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right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accompanied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representative,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acting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legal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capacity,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meeting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arranged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discuss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representative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provide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advice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support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their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behalf.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representative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must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member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79FB7454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i.e.: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</w:p>
    <w:p w14:paraId="639E11F2" w14:textId="77777777" w:rsidR="0082229A" w:rsidRPr="0085491A" w:rsidRDefault="0082229A" w:rsidP="0457C927">
      <w:pPr>
        <w:spacing w:line="360" w:lineRule="auto"/>
        <w:ind w:right="34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422361AE" w14:textId="36A60BBD" w:rsidR="0082229A" w:rsidRPr="0085491A" w:rsidRDefault="0082229A" w:rsidP="0457C927">
      <w:pPr>
        <w:spacing w:line="360" w:lineRule="auto"/>
        <w:ind w:left="1417" w:right="340" w:hanging="68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(i)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registered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proofErr w:type="gramStart"/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student;</w:t>
      </w:r>
      <w:proofErr w:type="gramEnd"/>
    </w:p>
    <w:p w14:paraId="62673836" w14:textId="019FFA45" w:rsidR="0082229A" w:rsidRPr="0085491A" w:rsidRDefault="0082229A" w:rsidP="0457C927">
      <w:pPr>
        <w:spacing w:line="360" w:lineRule="auto"/>
        <w:ind w:left="1417" w:right="340" w:hanging="68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(ii)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member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staff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either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1F3C2F35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proofErr w:type="gramStart"/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institution;</w:t>
      </w:r>
      <w:proofErr w:type="gramEnd"/>
    </w:p>
    <w:p w14:paraId="2CE44DF4" w14:textId="35BBC45F" w:rsidR="0082229A" w:rsidRPr="0085491A" w:rsidRDefault="0082229A" w:rsidP="0457C927">
      <w:pPr>
        <w:spacing w:line="360" w:lineRule="auto"/>
        <w:ind w:left="1417" w:right="340" w:hanging="68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(iii)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member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staff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Sabbatical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Officer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Union.</w:t>
      </w:r>
    </w:p>
    <w:p w14:paraId="4D8F576A" w14:textId="77777777" w:rsidR="0082229A" w:rsidRPr="0085491A" w:rsidRDefault="0082229A" w:rsidP="0457C927">
      <w:pPr>
        <w:spacing w:line="360" w:lineRule="auto"/>
        <w:ind w:left="1928" w:right="340" w:hanging="51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3DC87503" w14:textId="3726B768" w:rsidR="00493C80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these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state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certain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actions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taken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within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specified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timescale,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possible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(e.g.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because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timing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because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key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information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takes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longer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obtain)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kept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fully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informed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progress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their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appeal.</w:t>
      </w:r>
    </w:p>
    <w:p w14:paraId="67BF86E8" w14:textId="46CC15BB" w:rsidR="00943425" w:rsidRDefault="00943425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Scope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Limitations</w:t>
      </w:r>
    </w:p>
    <w:p w14:paraId="035B7D59" w14:textId="3F2F0230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applicable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Higher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Education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programmes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b/>
          <w:bCs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subject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set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organisation/institution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other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those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right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organisation/institution.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cases,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767D33D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have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exhausted,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entitled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make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organisation/institution.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applies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to:</w:t>
      </w:r>
    </w:p>
    <w:p w14:paraId="67E4641F" w14:textId="77777777" w:rsidR="0082229A" w:rsidRPr="0085491A" w:rsidRDefault="0082229A" w:rsidP="0457C927">
      <w:pPr>
        <w:spacing w:line="360" w:lineRule="auto"/>
        <w:ind w:left="737" w:hanging="73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3FE1DA38" w14:textId="780A9E53" w:rsidR="0082229A" w:rsidRPr="00DB4D6F" w:rsidRDefault="0082229A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Higher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National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programmes</w:t>
      </w:r>
    </w:p>
    <w:p w14:paraId="567D71D5" w14:textId="302E32AD" w:rsidR="0082229A" w:rsidRPr="00DB4D6F" w:rsidRDefault="0082229A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Honours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degrees</w:t>
      </w:r>
    </w:p>
    <w:p w14:paraId="2584C9E7" w14:textId="30078D4F" w:rsidR="0082229A" w:rsidRPr="00DB4D6F" w:rsidRDefault="0082229A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lastRenderedPageBreak/>
        <w:t>Degrees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(non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honours)</w:t>
      </w:r>
    </w:p>
    <w:p w14:paraId="72426E5E" w14:textId="14A2B9F6" w:rsidR="0082229A" w:rsidRPr="00DB4D6F" w:rsidRDefault="0082229A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Foundation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degrees</w:t>
      </w:r>
    </w:p>
    <w:p w14:paraId="51B10BD6" w14:textId="3CDB7130" w:rsidR="00665A83" w:rsidRPr="00665A83" w:rsidRDefault="0082229A" w:rsidP="00665A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Short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course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Levels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4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7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</w:p>
    <w:p w14:paraId="4C125056" w14:textId="77777777" w:rsidR="0082229A" w:rsidRPr="0085491A" w:rsidRDefault="0082229A" w:rsidP="0457C927">
      <w:pPr>
        <w:spacing w:line="360" w:lineRule="auto"/>
        <w:ind w:left="737" w:hanging="73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75A0D445" w14:textId="652B716C" w:rsidR="0082229A" w:rsidRPr="00CF54CC" w:rsidRDefault="576C7EBC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bases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its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procedures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principles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proofErr w:type="gramStart"/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of:</w:t>
      </w:r>
      <w:proofErr w:type="gramEnd"/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transparency;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consistency;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validity;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reliability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fairness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has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been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guided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by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665A83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665A83" w:rsidRPr="00CF54CC">
        <w:rPr>
          <w:rFonts w:ascii="Century Gothic" w:eastAsia="Century Gothic" w:hAnsi="Century Gothic" w:cs="Century Gothic"/>
          <w:color w:val="1F3864" w:themeColor="accent5" w:themeShade="80"/>
        </w:rPr>
        <w:t>Office for Students (OfS) and or their designated quality body</w:t>
      </w:r>
      <w:r w:rsidR="00CF54CC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proofErr w:type="gramStart"/>
      <w:r w:rsidR="00CF54CC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and </w:t>
      </w:r>
      <w:r w:rsidR="00665A83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UK</w:t>
      </w:r>
      <w:proofErr w:type="gramEnd"/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Quality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Code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for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Higher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Education,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Concerns,</w:t>
      </w:r>
      <w:r w:rsidR="001D782F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Complaints</w:t>
      </w:r>
      <w:r w:rsidR="001D782F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and</w:t>
      </w:r>
      <w:r w:rsidR="001D782F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Appeals</w:t>
      </w:r>
      <w:r w:rsidR="001D782F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meets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following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Core</w:t>
      </w:r>
      <w:r w:rsidR="001D782F" w:rsidRPr="00CF54CC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0CF54CC">
        <w:rPr>
          <w:rFonts w:ascii="Century Gothic" w:eastAsia="Century Gothic" w:hAnsi="Century Gothic" w:cs="Century Gothic"/>
          <w:color w:val="1F3864" w:themeColor="accent5" w:themeShade="80"/>
        </w:rPr>
        <w:t>Practice:</w:t>
      </w:r>
    </w:p>
    <w:p w14:paraId="35FC63E3" w14:textId="77777777" w:rsidR="0082229A" w:rsidRPr="00CF54CC" w:rsidRDefault="0082229A" w:rsidP="0457C927">
      <w:pPr>
        <w:pStyle w:val="Default"/>
        <w:spacing w:line="360" w:lineRule="auto"/>
        <w:ind w:left="737" w:hanging="737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</w:p>
    <w:p w14:paraId="2E90C904" w14:textId="32A55436" w:rsidR="0082229A" w:rsidRPr="00CF54CC" w:rsidRDefault="0082229A" w:rsidP="0457C927">
      <w:pPr>
        <w:spacing w:line="360" w:lineRule="auto"/>
        <w:ind w:left="737" w:hanging="737"/>
        <w:jc w:val="both"/>
        <w:rPr>
          <w:rFonts w:ascii="Century Gothic" w:eastAsia="Century Gothic" w:hAnsi="Century Gothic" w:cs="Century Gothic"/>
          <w:b/>
          <w:bCs/>
          <w:color w:val="1F3864" w:themeColor="accent5" w:themeShade="80"/>
        </w:rPr>
      </w:pPr>
      <w:r w:rsidRPr="00CF54CC">
        <w:rPr>
          <w:color w:val="000000"/>
          <w:szCs w:val="22"/>
        </w:rPr>
        <w:tab/>
      </w:r>
      <w:r w:rsidRPr="00CF54CC">
        <w:rPr>
          <w:rFonts w:ascii="Century Gothic" w:eastAsia="Century Gothic" w:hAnsi="Century Gothic" w:cs="Century Gothic"/>
          <w:color w:val="1F3864" w:themeColor="accent5" w:themeShade="80"/>
        </w:rPr>
        <w:t>(a)</w:t>
      </w:r>
      <w:r w:rsidRPr="00CF54CC">
        <w:rPr>
          <w:color w:val="000000"/>
          <w:szCs w:val="22"/>
        </w:rPr>
        <w:tab/>
      </w:r>
      <w:r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Providers</w:t>
      </w:r>
      <w:r w:rsidR="001D782F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have</w:t>
      </w:r>
      <w:r w:rsidR="001D782F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formal</w:t>
      </w:r>
      <w:r w:rsidR="001D782F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mechanisms</w:t>
      </w:r>
      <w:r w:rsidR="001D782F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for</w:t>
      </w:r>
      <w:r w:rsidR="001D782F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handling</w:t>
      </w:r>
      <w:r w:rsidR="001D782F"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 xml:space="preserve"> </w:t>
      </w:r>
      <w:r w:rsidRPr="00CF54CC">
        <w:rPr>
          <w:rFonts w:ascii="Century Gothic" w:eastAsia="Century Gothic" w:hAnsi="Century Gothic" w:cs="Century Gothic"/>
          <w:i/>
          <w:iCs/>
          <w:color w:val="1F3864" w:themeColor="accent5" w:themeShade="80"/>
        </w:rPr>
        <w:t>appeals.</w:t>
      </w:r>
    </w:p>
    <w:p w14:paraId="037C7839" w14:textId="77777777" w:rsidR="0082229A" w:rsidRPr="0085491A" w:rsidRDefault="0082229A" w:rsidP="0457C927">
      <w:pPr>
        <w:spacing w:line="360" w:lineRule="auto"/>
        <w:ind w:left="737" w:hanging="737"/>
        <w:jc w:val="both"/>
        <w:rPr>
          <w:rFonts w:ascii="Century Gothic" w:eastAsia="Century Gothic" w:hAnsi="Century Gothic" w:cs="Century Gothic"/>
          <w:b/>
          <w:bCs/>
          <w:color w:val="1F3864" w:themeColor="accent5" w:themeShade="80"/>
        </w:rPr>
      </w:pPr>
    </w:p>
    <w:p w14:paraId="591CC70C" w14:textId="0477FA80" w:rsidR="0082229A" w:rsidRPr="0085491A" w:rsidRDefault="0082229A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against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result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decision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Board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Examiners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more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following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reasons:</w:t>
      </w:r>
    </w:p>
    <w:p w14:paraId="400CF4DF" w14:textId="77777777" w:rsidR="0082229A" w:rsidRPr="0085491A" w:rsidRDefault="0082229A" w:rsidP="0457C927">
      <w:pPr>
        <w:spacing w:line="360" w:lineRule="auto"/>
        <w:ind w:left="737" w:hanging="73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4C1ADCDD" w14:textId="08B454A6" w:rsidR="0082229A" w:rsidRDefault="0082229A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student’s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performance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suffered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through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illness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other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compelling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which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could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have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reasonably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reported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time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assessment;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base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ground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expected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show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could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have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reported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earlier</w:t>
      </w:r>
      <w:r w:rsidR="003D6737" w:rsidRPr="0457C927">
        <w:rPr>
          <w:rFonts w:ascii="Century Gothic" w:eastAsia="Century Gothic" w:hAnsi="Century Gothic" w:cs="Century Gothic"/>
          <w:color w:val="1F3864" w:themeColor="accent5" w:themeShade="80"/>
        </w:rPr>
        <w:t>.</w:t>
      </w:r>
    </w:p>
    <w:p w14:paraId="589CBB71" w14:textId="177E032C" w:rsidR="003D6737" w:rsidRPr="0085491A" w:rsidRDefault="003D6737" w:rsidP="0457C927">
      <w:pPr>
        <w:pStyle w:val="ListParagraph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3D97D98F" w14:textId="584C786A" w:rsidR="0082229A" w:rsidRDefault="0082229A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was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carried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out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accordance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with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programme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and/or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module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regulations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procedures</w:t>
      </w:r>
      <w:r w:rsidR="003D6737" w:rsidRPr="0457C927">
        <w:rPr>
          <w:rFonts w:ascii="Century Gothic" w:eastAsia="Century Gothic" w:hAnsi="Century Gothic" w:cs="Century Gothic"/>
          <w:color w:val="1F3864" w:themeColor="accent5" w:themeShade="80"/>
        </w:rPr>
        <w:t>.</w:t>
      </w:r>
    </w:p>
    <w:p w14:paraId="0FAA68AA" w14:textId="77777777" w:rsidR="003D6737" w:rsidRPr="0085491A" w:rsidRDefault="003D6737" w:rsidP="0457C927">
      <w:pPr>
        <w:pStyle w:val="ListParagraph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05822389" w14:textId="00F14108" w:rsidR="0082229A" w:rsidRPr="0085491A" w:rsidRDefault="0082229A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administrative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correctly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followed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significant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mistake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was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made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administrative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process.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error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could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include,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example:</w:t>
      </w:r>
    </w:p>
    <w:p w14:paraId="6C99F76A" w14:textId="48896184" w:rsidR="0082229A" w:rsidRPr="0085491A" w:rsidRDefault="0082229A" w:rsidP="0457C927">
      <w:pPr>
        <w:spacing w:after="57" w:line="360" w:lineRule="auto"/>
        <w:ind w:left="1531" w:right="340" w:hanging="39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-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omission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mark</w:t>
      </w:r>
      <w:r w:rsidR="00317DB1" w:rsidRPr="0457C927">
        <w:rPr>
          <w:rFonts w:ascii="Century Gothic" w:eastAsia="Century Gothic" w:hAnsi="Century Gothic" w:cs="Century Gothic"/>
          <w:color w:val="1F3864" w:themeColor="accent5" w:themeShade="80"/>
        </w:rPr>
        <w:t>.</w:t>
      </w:r>
    </w:p>
    <w:p w14:paraId="69B583A2" w14:textId="0E5478B0" w:rsidR="0082229A" w:rsidRPr="0085491A" w:rsidRDefault="0082229A" w:rsidP="0457C927">
      <w:pPr>
        <w:spacing w:after="57" w:line="360" w:lineRule="auto"/>
        <w:ind w:left="1531" w:right="340" w:hanging="39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-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incorrect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aggregation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marks</w:t>
      </w:r>
      <w:r w:rsidR="00317DB1" w:rsidRPr="0457C927">
        <w:rPr>
          <w:rFonts w:ascii="Century Gothic" w:eastAsia="Century Gothic" w:hAnsi="Century Gothic" w:cs="Century Gothic"/>
          <w:color w:val="1F3864" w:themeColor="accent5" w:themeShade="80"/>
        </w:rPr>
        <w:t>.</w:t>
      </w:r>
    </w:p>
    <w:p w14:paraId="7387CDDE" w14:textId="5A9AEBC1" w:rsidR="0082229A" w:rsidRPr="0085491A" w:rsidRDefault="0082229A" w:rsidP="0457C927">
      <w:pPr>
        <w:spacing w:after="113" w:line="360" w:lineRule="auto"/>
        <w:ind w:left="1531" w:right="340" w:hanging="39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-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incorrect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application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special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conditions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penalties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case.</w:t>
      </w:r>
    </w:p>
    <w:p w14:paraId="3BF1ACB1" w14:textId="532130A1" w:rsidR="0082229A" w:rsidRPr="0085491A" w:rsidRDefault="0082229A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Previously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reported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which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have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significantly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affected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students’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performance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considered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more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following:</w:t>
      </w:r>
    </w:p>
    <w:p w14:paraId="417AE3A2" w14:textId="77777777" w:rsidR="0082229A" w:rsidRPr="0085491A" w:rsidRDefault="0082229A" w:rsidP="0457C927">
      <w:pPr>
        <w:spacing w:line="360" w:lineRule="auto"/>
        <w:ind w:left="1531" w:right="340" w:hanging="39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227B95D2" w14:textId="2EF40532" w:rsidR="0082229A" w:rsidRPr="0085491A" w:rsidRDefault="0082229A" w:rsidP="0457C927">
      <w:pPr>
        <w:spacing w:line="360" w:lineRule="auto"/>
        <w:ind w:left="1531" w:right="340" w:hanging="39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(a)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assessor(s)</w:t>
      </w:r>
    </w:p>
    <w:p w14:paraId="7A2F5634" w14:textId="2E9DC522" w:rsidR="0082229A" w:rsidRPr="0085491A" w:rsidRDefault="0082229A" w:rsidP="0457C927">
      <w:pPr>
        <w:spacing w:line="360" w:lineRule="auto"/>
        <w:ind w:left="1531" w:right="340" w:hanging="39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(b)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Board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Examiners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</w:p>
    <w:p w14:paraId="050AFC95" w14:textId="77777777" w:rsidR="0082229A" w:rsidRPr="0085491A" w:rsidRDefault="0082229A" w:rsidP="0457C927">
      <w:pPr>
        <w:spacing w:line="360" w:lineRule="auto"/>
        <w:ind w:left="1531" w:right="340" w:hanging="39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1188A4FE" w14:textId="09D1A91D" w:rsidR="0082229A" w:rsidRPr="0085491A" w:rsidRDefault="0082229A" w:rsidP="0457C927">
      <w:pPr>
        <w:spacing w:line="360" w:lineRule="auto"/>
        <w:ind w:left="737" w:right="340" w:hanging="73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lastRenderedPageBreak/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make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Appeal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Panel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grounds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that:</w:t>
      </w:r>
    </w:p>
    <w:p w14:paraId="422E54FA" w14:textId="77777777" w:rsidR="0082229A" w:rsidRPr="0085491A" w:rsidRDefault="0082229A" w:rsidP="0457C927">
      <w:pPr>
        <w:spacing w:line="360" w:lineRule="auto"/>
        <w:ind w:left="737" w:right="340" w:hanging="73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067ED736" w14:textId="103DBC03" w:rsidR="0082229A" w:rsidRPr="0085491A" w:rsidRDefault="0082229A" w:rsidP="0457C927">
      <w:pPr>
        <w:spacing w:after="113" w:line="360" w:lineRule="auto"/>
        <w:ind w:left="1247" w:right="340" w:hanging="51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(i)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did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understand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were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unaware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published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regulations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module,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subject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programme.</w:t>
      </w:r>
    </w:p>
    <w:p w14:paraId="4B12E4AB" w14:textId="6970AFFF" w:rsidR="0082229A" w:rsidRPr="0085491A" w:rsidRDefault="0082229A" w:rsidP="0457C927">
      <w:pPr>
        <w:spacing w:line="360" w:lineRule="auto"/>
        <w:ind w:left="1247" w:right="340" w:hanging="51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(ii)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disagree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with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professional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judgement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merits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individual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piece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work,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reaching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decision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based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marks,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grades,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progression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judgement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considered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include:</w:t>
      </w:r>
    </w:p>
    <w:p w14:paraId="2EDB5AD9" w14:textId="77777777" w:rsidR="0082229A" w:rsidRPr="0085491A" w:rsidRDefault="0082229A" w:rsidP="0457C927">
      <w:pPr>
        <w:spacing w:line="360" w:lineRule="auto"/>
        <w:ind w:left="1757" w:right="340" w:hanging="51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303911CC" w14:textId="6A752E64" w:rsidR="0082229A" w:rsidRPr="0085491A" w:rsidRDefault="0082229A" w:rsidP="0457C927">
      <w:pPr>
        <w:spacing w:line="360" w:lineRule="auto"/>
        <w:ind w:left="1757" w:right="340" w:hanging="51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(a)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confirmed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mark/</w:t>
      </w:r>
      <w:r w:rsidR="00317DB1" w:rsidRPr="0457C927">
        <w:rPr>
          <w:rFonts w:ascii="Century Gothic" w:eastAsia="Century Gothic" w:hAnsi="Century Gothic" w:cs="Century Gothic"/>
          <w:color w:val="1F3864" w:themeColor="accent5" w:themeShade="80"/>
        </w:rPr>
        <w:t>grade.</w:t>
      </w:r>
    </w:p>
    <w:p w14:paraId="186C8638" w14:textId="06BEFC2D" w:rsidR="0082229A" w:rsidRPr="0085491A" w:rsidRDefault="0082229A" w:rsidP="0457C927">
      <w:pPr>
        <w:spacing w:line="360" w:lineRule="auto"/>
        <w:ind w:left="1757" w:right="340" w:hanging="51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(b)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requirement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repeat,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resit,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take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no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further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317DB1" w:rsidRPr="0457C927">
        <w:rPr>
          <w:rFonts w:ascii="Century Gothic" w:eastAsia="Century Gothic" w:hAnsi="Century Gothic" w:cs="Century Gothic"/>
          <w:color w:val="1F3864" w:themeColor="accent5" w:themeShade="80"/>
        </w:rPr>
        <w:t>assessments.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</w:p>
    <w:p w14:paraId="1665D449" w14:textId="13DD2342" w:rsidR="0082229A" w:rsidRPr="0085491A" w:rsidRDefault="0082229A" w:rsidP="0457C927">
      <w:pPr>
        <w:spacing w:line="360" w:lineRule="auto"/>
        <w:ind w:left="1757" w:right="340" w:hanging="51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(c)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e.g.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with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without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attendance,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first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repeat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proofErr w:type="gramStart"/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attempts;</w:t>
      </w:r>
      <w:proofErr w:type="gramEnd"/>
    </w:p>
    <w:p w14:paraId="5B8DA200" w14:textId="21492C17" w:rsidR="0082229A" w:rsidRPr="0085491A" w:rsidRDefault="0082229A" w:rsidP="0457C927">
      <w:pPr>
        <w:spacing w:line="360" w:lineRule="auto"/>
        <w:ind w:left="1757" w:right="340" w:hanging="51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(d)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class/level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award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recommended.</w:t>
      </w:r>
    </w:p>
    <w:p w14:paraId="638CBDA7" w14:textId="77777777" w:rsidR="0082229A" w:rsidRPr="0085491A" w:rsidRDefault="0082229A" w:rsidP="0457C927">
      <w:pPr>
        <w:spacing w:line="360" w:lineRule="auto"/>
        <w:ind w:left="1757" w:right="340" w:hanging="51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29549FD6" w14:textId="1A43E385" w:rsidR="0082229A" w:rsidRDefault="0082229A" w:rsidP="0457C927">
      <w:pPr>
        <w:spacing w:line="360" w:lineRule="auto"/>
        <w:ind w:left="1247" w:right="340" w:hanging="510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(iii)</w:t>
      </w:r>
      <w:r>
        <w:tab/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failed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submit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claim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mitigating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therefore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draw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such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attention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6421BF00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prior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meeting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relevant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Board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Examiners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wish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challenge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outcome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claim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mitigating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Claims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relating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consideration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Mitigating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subject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separate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Mitigating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Circumstances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Policy.</w:t>
      </w:r>
    </w:p>
    <w:p w14:paraId="716C46C8" w14:textId="77777777" w:rsidR="00943425" w:rsidRDefault="00943425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Responsibilities</w:t>
      </w:r>
    </w:p>
    <w:p w14:paraId="4AD2BA8F" w14:textId="2DE4B10A" w:rsidR="0082229A" w:rsidRPr="0085491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Responsibility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for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document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rests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with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="6801C7AB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Head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Higher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Education</w:t>
      </w:r>
      <w:r w:rsidR="007C1201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, Quality Assurance</w:t>
      </w:r>
      <w:r w:rsidR="00925A01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.</w:t>
      </w:r>
    </w:p>
    <w:p w14:paraId="114BDFC9" w14:textId="77777777" w:rsidR="0082229A" w:rsidRPr="0085491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</w:p>
    <w:p w14:paraId="61E457F2" w14:textId="24133BBB" w:rsidR="00943425" w:rsidRPr="0082229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5D6645B4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Head</w:t>
      </w:r>
      <w:r w:rsidR="00925A01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of Higher Education</w:t>
      </w:r>
      <w:r w:rsidR="00947DD6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, Quality </w:t>
      </w:r>
      <w:r w:rsidR="00A55BAB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Assurance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track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cases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submit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annual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report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Senior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Management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Team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summarising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cases.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When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requested,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details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Appeals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provided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Higher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Education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Institution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(HEI)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with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whom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ultimately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registered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with.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</w:p>
    <w:p w14:paraId="100ED155" w14:textId="1A8E86DD" w:rsidR="00943425" w:rsidRDefault="00943425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Implementation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Arrangements</w:t>
      </w:r>
    </w:p>
    <w:p w14:paraId="32E3FD69" w14:textId="499BB978" w:rsidR="0082229A" w:rsidRPr="0085491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arrangements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that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outlined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below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build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previous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good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practice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seek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provide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additional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impetus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coherence.</w:t>
      </w:r>
    </w:p>
    <w:p w14:paraId="6F7D7BFC" w14:textId="77777777" w:rsidR="0082229A" w:rsidRPr="0085491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</w:p>
    <w:p w14:paraId="3C0A6064" w14:textId="762709AE" w:rsidR="0082229A" w:rsidRPr="0085491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lastRenderedPageBreak/>
        <w:t>All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new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members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staff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made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aware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procedures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during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formal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employee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induction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process.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</w:p>
    <w:p w14:paraId="7520C141" w14:textId="77777777" w:rsidR="0082229A" w:rsidRPr="0085491A" w:rsidRDefault="0082229A" w:rsidP="0457C927">
      <w:pPr>
        <w:pStyle w:val="NoSpacing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04A2CE28" w14:textId="52AB574A" w:rsidR="0082229A" w:rsidRPr="0085491A" w:rsidRDefault="0082229A" w:rsidP="0457C927">
      <w:pPr>
        <w:pStyle w:val="NoSpacing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published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via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staff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portal,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available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via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student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VLE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accessible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via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Derby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College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Group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website.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can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provided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alternative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formats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request.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</w:p>
    <w:p w14:paraId="74CB8B9A" w14:textId="77777777" w:rsidR="0082229A" w:rsidRPr="0085491A" w:rsidRDefault="0082229A" w:rsidP="0457C927">
      <w:pPr>
        <w:pStyle w:val="NoSpacing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</w:p>
    <w:p w14:paraId="3898A7C8" w14:textId="12408E1F" w:rsidR="00493C80" w:rsidRPr="0082229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updates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amendments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procedures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disseminated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Leadership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Management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team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communicated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team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members.</w:t>
      </w:r>
    </w:p>
    <w:p w14:paraId="3700C58C" w14:textId="5A5F077B" w:rsidR="00943425" w:rsidRDefault="00943425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Monitoring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Review</w:t>
      </w:r>
    </w:p>
    <w:p w14:paraId="2BC24AF6" w14:textId="1DEB6895" w:rsidR="0082229A" w:rsidRPr="0085491A" w:rsidRDefault="0082229A" w:rsidP="0457C927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procedure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proofErr w:type="gramStart"/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is</w:t>
      </w:r>
      <w:proofErr w:type="gramEnd"/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subject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regular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review.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It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reviewed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proofErr w:type="gramStart"/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three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year</w:t>
      </w:r>
      <w:proofErr w:type="gramEnd"/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cycle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with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annual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appraisal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procedures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documentation.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Review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will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proofErr w:type="gramStart"/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take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into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account</w:t>
      </w:r>
      <w:proofErr w:type="gramEnd"/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views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of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students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stakeholders.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DCG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reserves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right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to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make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whatever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changes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it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deems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appropriate.</w:t>
      </w:r>
    </w:p>
    <w:p w14:paraId="3762BC4C" w14:textId="5FBC1D0D" w:rsidR="00943425" w:rsidRDefault="00943425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Guidelines</w:t>
      </w:r>
    </w:p>
    <w:p w14:paraId="4213906A" w14:textId="36725636" w:rsidR="00493C80" w:rsidRDefault="003439AF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There are no specific guidelines in relation to this policy, all relevant information is contained within the HE Academic Appeals Proc</w:t>
      </w:r>
      <w:r w:rsidR="00396D3D" w:rsidRPr="0457C927">
        <w:rPr>
          <w:rFonts w:ascii="Century Gothic" w:eastAsia="Century Gothic" w:hAnsi="Century Gothic" w:cs="Century Gothic"/>
          <w:color w:val="1F3864" w:themeColor="accent5" w:themeShade="80"/>
        </w:rPr>
        <w:t>edure</w:t>
      </w:r>
    </w:p>
    <w:p w14:paraId="6A3BB551" w14:textId="23708FAF" w:rsidR="000849F7" w:rsidRDefault="000849F7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Procedures</w:t>
      </w:r>
    </w:p>
    <w:p w14:paraId="186A135D" w14:textId="3C222F07" w:rsidR="43919D00" w:rsidRDefault="43919D00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0070C0"/>
        </w:rPr>
      </w:pPr>
      <w:hyperlink r:id="rId13">
        <w:r w:rsidRPr="0457C927">
          <w:rPr>
            <w:rStyle w:val="Hyperlink"/>
            <w:rFonts w:ascii="Century Gothic" w:eastAsia="Century Gothic" w:hAnsi="Century Gothic" w:cs="Century Gothic"/>
            <w:color w:val="0070C0"/>
          </w:rPr>
          <w:t>HE Academic Appeals Procedure</w:t>
        </w:r>
      </w:hyperlink>
    </w:p>
    <w:p w14:paraId="4DCEAD38" w14:textId="08C93C4B" w:rsidR="00396D3D" w:rsidRDefault="00396D3D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The Academic Appeal Process</w:t>
      </w:r>
    </w:p>
    <w:p w14:paraId="2B1AC5A4" w14:textId="26244140" w:rsidR="00396D3D" w:rsidRDefault="00396D3D" w:rsidP="0457C927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Stage 1 Informal Procedure</w:t>
      </w:r>
    </w:p>
    <w:p w14:paraId="57E8058C" w14:textId="34DCA47A" w:rsidR="00396D3D" w:rsidRDefault="00D341D0" w:rsidP="0457C927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Stage 2 Formal Procedure</w:t>
      </w:r>
    </w:p>
    <w:p w14:paraId="0F9EAB73" w14:textId="16DD500E" w:rsidR="00D341D0" w:rsidRDefault="00D341D0" w:rsidP="0457C927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Academic Appeal Panel</w:t>
      </w:r>
    </w:p>
    <w:p w14:paraId="4354F849" w14:textId="194E120E" w:rsidR="00D341D0" w:rsidRDefault="00D341D0" w:rsidP="0457C927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Stage 3 </w:t>
      </w:r>
      <w:r w:rsidR="00C71AF7" w:rsidRPr="0457C927">
        <w:rPr>
          <w:rFonts w:ascii="Century Gothic" w:eastAsia="Century Gothic" w:hAnsi="Century Gothic" w:cs="Century Gothic"/>
          <w:color w:val="1F3864" w:themeColor="accent5" w:themeShade="80"/>
        </w:rPr>
        <w:t>Review</w:t>
      </w:r>
    </w:p>
    <w:p w14:paraId="53D5FCF3" w14:textId="5FF55F52" w:rsidR="00615E3E" w:rsidRDefault="00C71AF7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Action following the completion of Stage 3</w:t>
      </w:r>
    </w:p>
    <w:p w14:paraId="6356A37B" w14:textId="3FF21E48" w:rsidR="00615E3E" w:rsidRPr="000849F7" w:rsidRDefault="00B509C2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Flowchart</w:t>
      </w:r>
    </w:p>
    <w:p w14:paraId="444F3B7E" w14:textId="0FA7C2B0" w:rsidR="00943425" w:rsidRDefault="00943425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Templates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/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Forms</w:t>
      </w:r>
    </w:p>
    <w:p w14:paraId="47941667" w14:textId="13898FED" w:rsidR="001452D8" w:rsidRDefault="001452D8" w:rsidP="0457C927">
      <w:p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Students can submit an Academic Appeal via a webform found on the HE website page of </w:t>
      </w:r>
      <w:r w:rsidR="30117DF7" w:rsidRPr="0457C927">
        <w:rPr>
          <w:rFonts w:ascii="Century Gothic" w:eastAsia="Century Gothic" w:hAnsi="Century Gothic" w:cs="Century Gothic"/>
          <w:color w:val="1F3864" w:themeColor="accent5" w:themeShade="80"/>
        </w:rPr>
        <w:t>DCG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, and from their VLE pages. </w:t>
      </w:r>
    </w:p>
    <w:p w14:paraId="4F6E4F03" w14:textId="13364A8C" w:rsidR="00943425" w:rsidRDefault="00943425" w:rsidP="0457C927">
      <w:pPr>
        <w:pStyle w:val="Heading1"/>
        <w:spacing w:line="360" w:lineRule="auto"/>
        <w:ind w:left="567" w:hanging="567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lastRenderedPageBreak/>
        <w:t>Related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Documents</w:t>
      </w:r>
    </w:p>
    <w:p w14:paraId="33A59342" w14:textId="2058C0AF" w:rsidR="0082229A" w:rsidRPr="0085491A" w:rsidRDefault="0082229A" w:rsidP="0457C927">
      <w:pPr>
        <w:pStyle w:val="Default"/>
        <w:spacing w:line="360" w:lineRule="auto"/>
        <w:ind w:left="737" w:hanging="737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This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policy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should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be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read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in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conjunction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with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the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following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 xml:space="preserve"> </w:t>
      </w:r>
      <w:r w:rsidRPr="0457C927"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  <w:t>documents:</w:t>
      </w:r>
    </w:p>
    <w:p w14:paraId="720F166D" w14:textId="77777777" w:rsidR="0082229A" w:rsidRPr="0085491A" w:rsidRDefault="0082229A" w:rsidP="0457C927">
      <w:pPr>
        <w:pStyle w:val="Default"/>
        <w:spacing w:line="360" w:lineRule="auto"/>
        <w:ind w:left="737" w:hanging="737"/>
        <w:jc w:val="both"/>
        <w:rPr>
          <w:rFonts w:ascii="Century Gothic" w:eastAsia="Century Gothic" w:hAnsi="Century Gothic" w:cs="Century Gothic"/>
          <w:color w:val="1F3864" w:themeColor="accent5" w:themeShade="80"/>
          <w:sz w:val="22"/>
          <w:szCs w:val="22"/>
        </w:rPr>
      </w:pPr>
    </w:p>
    <w:p w14:paraId="47DC506E" w14:textId="7CA9DEB5" w:rsidR="0082229A" w:rsidRPr="00DB4D6F" w:rsidRDefault="002E56E7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bookmarkStart w:id="1" w:name="_Hlk14776456"/>
      <w:r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HE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Academic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Misconduct</w:t>
      </w:r>
    </w:p>
    <w:p w14:paraId="6A06571D" w14:textId="12A60DA9" w:rsidR="0082229A" w:rsidRPr="00DB4D6F" w:rsidRDefault="002E56E7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HE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Assessment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and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Feedback</w:t>
      </w:r>
      <w:r w:rsidR="001D782F" w:rsidRPr="0457C927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0457C927">
        <w:rPr>
          <w:rFonts w:ascii="Century Gothic" w:eastAsia="Century Gothic" w:hAnsi="Century Gothic" w:cs="Century Gothic"/>
          <w:color w:val="1F3864" w:themeColor="accent5" w:themeShade="80"/>
        </w:rPr>
        <w:t>Polic</w:t>
      </w:r>
      <w:r w:rsidRPr="0457C927">
        <w:rPr>
          <w:rFonts w:ascii="Century Gothic" w:eastAsia="Century Gothic" w:hAnsi="Century Gothic" w:cs="Century Gothic"/>
          <w:color w:val="1F3864" w:themeColor="accent5" w:themeShade="80"/>
        </w:rPr>
        <w:t>y</w:t>
      </w:r>
    </w:p>
    <w:p w14:paraId="0F2099B2" w14:textId="57C3BD3C" w:rsidR="61DEAB03" w:rsidRDefault="002E56E7" w:rsidP="0457C9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eastAsia="Century Gothic" w:hAnsi="Century Gothic" w:cs="Century Gothic"/>
          <w:color w:val="1F3864" w:themeColor="accent5" w:themeShade="80"/>
        </w:rPr>
      </w:pPr>
      <w:r w:rsidRPr="6ACF69AE">
        <w:rPr>
          <w:rFonts w:ascii="Century Gothic" w:eastAsia="Century Gothic" w:hAnsi="Century Gothic" w:cs="Century Gothic"/>
          <w:color w:val="1F3864" w:themeColor="accent5" w:themeShade="80"/>
        </w:rPr>
        <w:t xml:space="preserve">HE </w:t>
      </w:r>
      <w:r w:rsidR="0082229A" w:rsidRPr="6ACF69AE">
        <w:rPr>
          <w:rFonts w:ascii="Century Gothic" w:eastAsia="Century Gothic" w:hAnsi="Century Gothic" w:cs="Century Gothic"/>
          <w:color w:val="1F3864" w:themeColor="accent5" w:themeShade="80"/>
        </w:rPr>
        <w:t>Internal</w:t>
      </w:r>
      <w:r w:rsidR="001D782F" w:rsidRPr="6ACF69AE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6ACF69AE">
        <w:rPr>
          <w:rFonts w:ascii="Century Gothic" w:eastAsia="Century Gothic" w:hAnsi="Century Gothic" w:cs="Century Gothic"/>
          <w:color w:val="1F3864" w:themeColor="accent5" w:themeShade="80"/>
        </w:rPr>
        <w:t>Moderation</w:t>
      </w:r>
      <w:r w:rsidR="001D782F" w:rsidRPr="6ACF69AE">
        <w:rPr>
          <w:rFonts w:ascii="Century Gothic" w:eastAsia="Century Gothic" w:hAnsi="Century Gothic" w:cs="Century Gothic"/>
          <w:color w:val="1F3864" w:themeColor="accent5" w:themeShade="80"/>
        </w:rPr>
        <w:t xml:space="preserve"> </w:t>
      </w:r>
      <w:r w:rsidR="0082229A" w:rsidRPr="6ACF69AE">
        <w:rPr>
          <w:rFonts w:ascii="Century Gothic" w:eastAsia="Century Gothic" w:hAnsi="Century Gothic" w:cs="Century Gothic"/>
          <w:color w:val="1F3864" w:themeColor="accent5" w:themeShade="80"/>
        </w:rPr>
        <w:t>Policy</w:t>
      </w:r>
      <w:bookmarkEnd w:id="1"/>
    </w:p>
    <w:sectPr w:rsidR="61DEAB03" w:rsidSect="00C30874">
      <w:headerReference w:type="default" r:id="rId14"/>
      <w:pgSz w:w="11909" w:h="16834" w:code="9"/>
      <w:pgMar w:top="993" w:right="1440" w:bottom="426" w:left="1440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9968" w14:textId="77777777" w:rsidR="00360C7F" w:rsidRDefault="00360C7F">
      <w:r>
        <w:separator/>
      </w:r>
    </w:p>
  </w:endnote>
  <w:endnote w:type="continuationSeparator" w:id="0">
    <w:p w14:paraId="23FDE8CF" w14:textId="77777777" w:rsidR="00360C7F" w:rsidRDefault="00360C7F">
      <w:r>
        <w:continuationSeparator/>
      </w:r>
    </w:p>
  </w:endnote>
  <w:endnote w:type="continuationNotice" w:id="1">
    <w:p w14:paraId="496B56F2" w14:textId="77777777" w:rsidR="00360C7F" w:rsidRDefault="00360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8F63" w14:textId="77777777" w:rsidR="00360C7F" w:rsidRDefault="00360C7F">
      <w:r>
        <w:separator/>
      </w:r>
    </w:p>
  </w:footnote>
  <w:footnote w:type="continuationSeparator" w:id="0">
    <w:p w14:paraId="0B84B0CB" w14:textId="77777777" w:rsidR="00360C7F" w:rsidRDefault="00360C7F">
      <w:r>
        <w:continuationSeparator/>
      </w:r>
    </w:p>
  </w:footnote>
  <w:footnote w:type="continuationNotice" w:id="1">
    <w:p w14:paraId="303B9D9B" w14:textId="77777777" w:rsidR="00360C7F" w:rsidRDefault="00360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C62F" w14:textId="77777777" w:rsidR="009E60E4" w:rsidRDefault="009E60E4" w:rsidP="009E60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6"/>
        <w:szCs w:val="26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6"/>
        <w:szCs w:val="26"/>
      </w:rPr>
    </w:lvl>
  </w:abstractNum>
  <w:abstractNum w:abstractNumId="3" w15:restartNumberingAfterBreak="0">
    <w:nsid w:val="00000006"/>
    <w:multiLevelType w:val="hybridMultilevel"/>
    <w:tmpl w:val="00000006"/>
    <w:name w:val="WW8Num6"/>
    <w:lvl w:ilvl="0" w:tplc="AB3A8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6"/>
        <w:szCs w:val="26"/>
      </w:rPr>
    </w:lvl>
    <w:lvl w:ilvl="1" w:tplc="BC1AA32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6"/>
        <w:szCs w:val="26"/>
      </w:rPr>
    </w:lvl>
    <w:lvl w:ilvl="2" w:tplc="898C495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6"/>
        <w:szCs w:val="26"/>
      </w:rPr>
    </w:lvl>
    <w:lvl w:ilvl="3" w:tplc="BA166D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</w:rPr>
    </w:lvl>
    <w:lvl w:ilvl="4" w:tplc="F3883F7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6"/>
        <w:szCs w:val="26"/>
      </w:rPr>
    </w:lvl>
    <w:lvl w:ilvl="5" w:tplc="77EE803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6"/>
        <w:szCs w:val="26"/>
      </w:rPr>
    </w:lvl>
    <w:lvl w:ilvl="6" w:tplc="4164ED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</w:rPr>
    </w:lvl>
    <w:lvl w:ilvl="7" w:tplc="2DA2266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6"/>
        <w:szCs w:val="26"/>
      </w:rPr>
    </w:lvl>
    <w:lvl w:ilvl="8" w:tplc="D066500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6"/>
        <w:szCs w:val="26"/>
      </w:rPr>
    </w:lvl>
  </w:abstractNum>
  <w:abstractNum w:abstractNumId="4" w15:restartNumberingAfterBreak="0">
    <w:nsid w:val="00000007"/>
    <w:multiLevelType w:val="hybridMultilevel"/>
    <w:tmpl w:val="00000007"/>
    <w:lvl w:ilvl="0" w:tplc="C46E3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6"/>
        <w:szCs w:val="26"/>
      </w:rPr>
    </w:lvl>
    <w:lvl w:ilvl="1" w:tplc="1E308BD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6"/>
        <w:szCs w:val="26"/>
      </w:rPr>
    </w:lvl>
    <w:lvl w:ilvl="2" w:tplc="C72EDA4E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6"/>
        <w:szCs w:val="26"/>
      </w:rPr>
    </w:lvl>
    <w:lvl w:ilvl="3" w:tplc="83CC8F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</w:rPr>
    </w:lvl>
    <w:lvl w:ilvl="4" w:tplc="B7967A1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6"/>
        <w:szCs w:val="26"/>
      </w:rPr>
    </w:lvl>
    <w:lvl w:ilvl="5" w:tplc="4C7ECC78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6"/>
        <w:szCs w:val="26"/>
      </w:rPr>
    </w:lvl>
    <w:lvl w:ilvl="6" w:tplc="AA3AFD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</w:rPr>
    </w:lvl>
    <w:lvl w:ilvl="7" w:tplc="E714977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6"/>
        <w:szCs w:val="26"/>
      </w:rPr>
    </w:lvl>
    <w:lvl w:ilvl="8" w:tplc="1658A5C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6"/>
        <w:szCs w:val="26"/>
      </w:rPr>
    </w:lvl>
  </w:abstractNum>
  <w:abstractNum w:abstractNumId="5" w15:restartNumberingAfterBreak="0">
    <w:nsid w:val="0CD758F2"/>
    <w:multiLevelType w:val="hybridMultilevel"/>
    <w:tmpl w:val="E524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E3AC2"/>
    <w:multiLevelType w:val="multilevel"/>
    <w:tmpl w:val="2F4C06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2F494C"/>
    <w:multiLevelType w:val="multilevel"/>
    <w:tmpl w:val="B50AB59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2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DB66A2"/>
    <w:multiLevelType w:val="hybridMultilevel"/>
    <w:tmpl w:val="1E146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50CC9"/>
    <w:multiLevelType w:val="hybridMultilevel"/>
    <w:tmpl w:val="E6362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240F7"/>
    <w:multiLevelType w:val="hybridMultilevel"/>
    <w:tmpl w:val="ED22D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F6285"/>
    <w:multiLevelType w:val="hybridMultilevel"/>
    <w:tmpl w:val="8C2E4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A4E12"/>
    <w:multiLevelType w:val="multilevel"/>
    <w:tmpl w:val="9AE0188A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460CB5"/>
    <w:multiLevelType w:val="hybridMultilevel"/>
    <w:tmpl w:val="411091C4"/>
    <w:lvl w:ilvl="0" w:tplc="0809000F">
      <w:start w:val="1"/>
      <w:numFmt w:val="decimal"/>
      <w:lvlText w:val="%1.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5C0F0540"/>
    <w:multiLevelType w:val="hybridMultilevel"/>
    <w:tmpl w:val="4AD65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25738"/>
    <w:multiLevelType w:val="hybridMultilevel"/>
    <w:tmpl w:val="1A1E449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5192158">
    <w:abstractNumId w:val="6"/>
  </w:num>
  <w:num w:numId="2" w16cid:durableId="1815877717">
    <w:abstractNumId w:val="12"/>
  </w:num>
  <w:num w:numId="3" w16cid:durableId="1383946972">
    <w:abstractNumId w:val="15"/>
  </w:num>
  <w:num w:numId="4" w16cid:durableId="1303465531">
    <w:abstractNumId w:val="9"/>
  </w:num>
  <w:num w:numId="5" w16cid:durableId="1950044105">
    <w:abstractNumId w:val="10"/>
  </w:num>
  <w:num w:numId="6" w16cid:durableId="1230572742">
    <w:abstractNumId w:val="7"/>
  </w:num>
  <w:num w:numId="7" w16cid:durableId="678774555">
    <w:abstractNumId w:val="8"/>
  </w:num>
  <w:num w:numId="8" w16cid:durableId="1876888662">
    <w:abstractNumId w:val="14"/>
  </w:num>
  <w:num w:numId="9" w16cid:durableId="477263728">
    <w:abstractNumId w:val="7"/>
  </w:num>
  <w:num w:numId="10" w16cid:durableId="1444955307">
    <w:abstractNumId w:val="3"/>
  </w:num>
  <w:num w:numId="11" w16cid:durableId="264775196">
    <w:abstractNumId w:val="0"/>
  </w:num>
  <w:num w:numId="12" w16cid:durableId="2056153377">
    <w:abstractNumId w:val="1"/>
  </w:num>
  <w:num w:numId="13" w16cid:durableId="286011577">
    <w:abstractNumId w:val="13"/>
  </w:num>
  <w:num w:numId="14" w16cid:durableId="1182822995">
    <w:abstractNumId w:val="11"/>
  </w:num>
  <w:num w:numId="15" w16cid:durableId="2049641079">
    <w:abstractNumId w:val="2"/>
  </w:num>
  <w:num w:numId="16" w16cid:durableId="1544826652">
    <w:abstractNumId w:val="4"/>
  </w:num>
  <w:num w:numId="17" w16cid:durableId="2007901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47"/>
    <w:rsid w:val="00042912"/>
    <w:rsid w:val="0005466E"/>
    <w:rsid w:val="000638A5"/>
    <w:rsid w:val="00067783"/>
    <w:rsid w:val="00071457"/>
    <w:rsid w:val="00075D81"/>
    <w:rsid w:val="000849F7"/>
    <w:rsid w:val="0009030C"/>
    <w:rsid w:val="000A59B8"/>
    <w:rsid w:val="000B5F6F"/>
    <w:rsid w:val="000C71A3"/>
    <w:rsid w:val="000C76E4"/>
    <w:rsid w:val="000F5C70"/>
    <w:rsid w:val="00114582"/>
    <w:rsid w:val="001176C9"/>
    <w:rsid w:val="00121FD1"/>
    <w:rsid w:val="00124413"/>
    <w:rsid w:val="00127654"/>
    <w:rsid w:val="00143CD0"/>
    <w:rsid w:val="001452D8"/>
    <w:rsid w:val="0014785A"/>
    <w:rsid w:val="00161262"/>
    <w:rsid w:val="001901CC"/>
    <w:rsid w:val="001953C1"/>
    <w:rsid w:val="001B5A47"/>
    <w:rsid w:val="001B7892"/>
    <w:rsid w:val="001D23E5"/>
    <w:rsid w:val="001D4F24"/>
    <w:rsid w:val="001D782F"/>
    <w:rsid w:val="001E03F3"/>
    <w:rsid w:val="001E107E"/>
    <w:rsid w:val="001E3C1F"/>
    <w:rsid w:val="00215541"/>
    <w:rsid w:val="00217519"/>
    <w:rsid w:val="0022683E"/>
    <w:rsid w:val="00226CDD"/>
    <w:rsid w:val="00227FBD"/>
    <w:rsid w:val="00244355"/>
    <w:rsid w:val="00282647"/>
    <w:rsid w:val="002A1AEE"/>
    <w:rsid w:val="002A5A35"/>
    <w:rsid w:val="002A70AC"/>
    <w:rsid w:val="002C6453"/>
    <w:rsid w:val="002E56E7"/>
    <w:rsid w:val="002E6BEE"/>
    <w:rsid w:val="002F2516"/>
    <w:rsid w:val="002F53FE"/>
    <w:rsid w:val="00317A42"/>
    <w:rsid w:val="00317DB1"/>
    <w:rsid w:val="003226AE"/>
    <w:rsid w:val="00322AAC"/>
    <w:rsid w:val="00335794"/>
    <w:rsid w:val="0033595C"/>
    <w:rsid w:val="003439AF"/>
    <w:rsid w:val="00356E79"/>
    <w:rsid w:val="00360C7F"/>
    <w:rsid w:val="003706D1"/>
    <w:rsid w:val="00385CF1"/>
    <w:rsid w:val="0039465B"/>
    <w:rsid w:val="00396D3D"/>
    <w:rsid w:val="00396FD8"/>
    <w:rsid w:val="003A7FDB"/>
    <w:rsid w:val="003D24FA"/>
    <w:rsid w:val="003D6737"/>
    <w:rsid w:val="003F5BB8"/>
    <w:rsid w:val="003F6044"/>
    <w:rsid w:val="00402683"/>
    <w:rsid w:val="00412D4E"/>
    <w:rsid w:val="00434016"/>
    <w:rsid w:val="00437DC5"/>
    <w:rsid w:val="00441A6B"/>
    <w:rsid w:val="0045368C"/>
    <w:rsid w:val="00460218"/>
    <w:rsid w:val="00463F67"/>
    <w:rsid w:val="00486961"/>
    <w:rsid w:val="00493C80"/>
    <w:rsid w:val="0049764D"/>
    <w:rsid w:val="004A7B73"/>
    <w:rsid w:val="004B38D6"/>
    <w:rsid w:val="004C69B6"/>
    <w:rsid w:val="004E1DF4"/>
    <w:rsid w:val="004E44CF"/>
    <w:rsid w:val="004F20FB"/>
    <w:rsid w:val="004F608E"/>
    <w:rsid w:val="005004BF"/>
    <w:rsid w:val="00523F44"/>
    <w:rsid w:val="0052585F"/>
    <w:rsid w:val="00536240"/>
    <w:rsid w:val="005711A8"/>
    <w:rsid w:val="005746F1"/>
    <w:rsid w:val="00575D39"/>
    <w:rsid w:val="00586098"/>
    <w:rsid w:val="00586F5C"/>
    <w:rsid w:val="00591259"/>
    <w:rsid w:val="0059402C"/>
    <w:rsid w:val="005C4A5E"/>
    <w:rsid w:val="005C5339"/>
    <w:rsid w:val="005D470D"/>
    <w:rsid w:val="005F434F"/>
    <w:rsid w:val="005F7A25"/>
    <w:rsid w:val="00601E67"/>
    <w:rsid w:val="0061327D"/>
    <w:rsid w:val="00615E3E"/>
    <w:rsid w:val="0063755D"/>
    <w:rsid w:val="0064042F"/>
    <w:rsid w:val="00642E9B"/>
    <w:rsid w:val="00665A83"/>
    <w:rsid w:val="00667780"/>
    <w:rsid w:val="00682625"/>
    <w:rsid w:val="0068271B"/>
    <w:rsid w:val="00686092"/>
    <w:rsid w:val="0069443B"/>
    <w:rsid w:val="006A76D0"/>
    <w:rsid w:val="006F43BE"/>
    <w:rsid w:val="00724B80"/>
    <w:rsid w:val="00741A4F"/>
    <w:rsid w:val="007672D1"/>
    <w:rsid w:val="00767510"/>
    <w:rsid w:val="007840AB"/>
    <w:rsid w:val="00787818"/>
    <w:rsid w:val="0079309F"/>
    <w:rsid w:val="00795DD6"/>
    <w:rsid w:val="007A758D"/>
    <w:rsid w:val="007C1190"/>
    <w:rsid w:val="007C1201"/>
    <w:rsid w:val="007D5790"/>
    <w:rsid w:val="007E670C"/>
    <w:rsid w:val="0082229A"/>
    <w:rsid w:val="00832EB6"/>
    <w:rsid w:val="008461F2"/>
    <w:rsid w:val="00895FA4"/>
    <w:rsid w:val="008B3338"/>
    <w:rsid w:val="008B3C99"/>
    <w:rsid w:val="008C01F0"/>
    <w:rsid w:val="008C3731"/>
    <w:rsid w:val="00921B39"/>
    <w:rsid w:val="00925A01"/>
    <w:rsid w:val="00925F20"/>
    <w:rsid w:val="00926A4E"/>
    <w:rsid w:val="009325F2"/>
    <w:rsid w:val="00934EA8"/>
    <w:rsid w:val="009363AF"/>
    <w:rsid w:val="00943425"/>
    <w:rsid w:val="00945B13"/>
    <w:rsid w:val="00947DD6"/>
    <w:rsid w:val="009542F2"/>
    <w:rsid w:val="00964B41"/>
    <w:rsid w:val="0097443B"/>
    <w:rsid w:val="0098552B"/>
    <w:rsid w:val="009D6E68"/>
    <w:rsid w:val="009E60E4"/>
    <w:rsid w:val="009E686F"/>
    <w:rsid w:val="009F5563"/>
    <w:rsid w:val="00A0020B"/>
    <w:rsid w:val="00A02AE9"/>
    <w:rsid w:val="00A524F0"/>
    <w:rsid w:val="00A55BAB"/>
    <w:rsid w:val="00A66AAA"/>
    <w:rsid w:val="00A67F9A"/>
    <w:rsid w:val="00A721CF"/>
    <w:rsid w:val="00A87889"/>
    <w:rsid w:val="00A94C89"/>
    <w:rsid w:val="00AC58F9"/>
    <w:rsid w:val="00AD414E"/>
    <w:rsid w:val="00AE58E2"/>
    <w:rsid w:val="00AF1226"/>
    <w:rsid w:val="00B17241"/>
    <w:rsid w:val="00B469F9"/>
    <w:rsid w:val="00B46DC3"/>
    <w:rsid w:val="00B46DF1"/>
    <w:rsid w:val="00B47FF6"/>
    <w:rsid w:val="00B509C2"/>
    <w:rsid w:val="00B53F59"/>
    <w:rsid w:val="00B761F2"/>
    <w:rsid w:val="00B8544C"/>
    <w:rsid w:val="00B92F73"/>
    <w:rsid w:val="00B952CC"/>
    <w:rsid w:val="00BA2FE7"/>
    <w:rsid w:val="00BA3E72"/>
    <w:rsid w:val="00BB32E6"/>
    <w:rsid w:val="00BC54C5"/>
    <w:rsid w:val="00BC5513"/>
    <w:rsid w:val="00BD6EBD"/>
    <w:rsid w:val="00BE2C4F"/>
    <w:rsid w:val="00BE446C"/>
    <w:rsid w:val="00BE5810"/>
    <w:rsid w:val="00C03101"/>
    <w:rsid w:val="00C275B3"/>
    <w:rsid w:val="00C30874"/>
    <w:rsid w:val="00C353A7"/>
    <w:rsid w:val="00C43765"/>
    <w:rsid w:val="00C44566"/>
    <w:rsid w:val="00C509DB"/>
    <w:rsid w:val="00C6409B"/>
    <w:rsid w:val="00C71AF7"/>
    <w:rsid w:val="00C7760F"/>
    <w:rsid w:val="00C8079A"/>
    <w:rsid w:val="00C82D27"/>
    <w:rsid w:val="00CB369C"/>
    <w:rsid w:val="00CB4959"/>
    <w:rsid w:val="00CD49AB"/>
    <w:rsid w:val="00CD7835"/>
    <w:rsid w:val="00CE5EEE"/>
    <w:rsid w:val="00CF54CC"/>
    <w:rsid w:val="00CF67BA"/>
    <w:rsid w:val="00CF7533"/>
    <w:rsid w:val="00D011B3"/>
    <w:rsid w:val="00D042CE"/>
    <w:rsid w:val="00D1347C"/>
    <w:rsid w:val="00D13E59"/>
    <w:rsid w:val="00D341D0"/>
    <w:rsid w:val="00D42832"/>
    <w:rsid w:val="00D718A6"/>
    <w:rsid w:val="00DB4D6F"/>
    <w:rsid w:val="00DC3D36"/>
    <w:rsid w:val="00DC5F11"/>
    <w:rsid w:val="00DF3750"/>
    <w:rsid w:val="00E059E2"/>
    <w:rsid w:val="00E42B55"/>
    <w:rsid w:val="00E61111"/>
    <w:rsid w:val="00E7170F"/>
    <w:rsid w:val="00E725DC"/>
    <w:rsid w:val="00E735B5"/>
    <w:rsid w:val="00E73C83"/>
    <w:rsid w:val="00E806A9"/>
    <w:rsid w:val="00E81F57"/>
    <w:rsid w:val="00E82844"/>
    <w:rsid w:val="00E8613F"/>
    <w:rsid w:val="00EB7065"/>
    <w:rsid w:val="00EC05BA"/>
    <w:rsid w:val="00EC1818"/>
    <w:rsid w:val="00ED0378"/>
    <w:rsid w:val="00EF5C6D"/>
    <w:rsid w:val="00F1134E"/>
    <w:rsid w:val="00F16CBD"/>
    <w:rsid w:val="00F26655"/>
    <w:rsid w:val="00F3575A"/>
    <w:rsid w:val="00F402D0"/>
    <w:rsid w:val="00F41168"/>
    <w:rsid w:val="00F52C6B"/>
    <w:rsid w:val="00F61CA5"/>
    <w:rsid w:val="00F62234"/>
    <w:rsid w:val="00F64D5C"/>
    <w:rsid w:val="00F668CD"/>
    <w:rsid w:val="00F8383C"/>
    <w:rsid w:val="00F867B4"/>
    <w:rsid w:val="00F873BF"/>
    <w:rsid w:val="00F94243"/>
    <w:rsid w:val="00FA04F6"/>
    <w:rsid w:val="00FB7DFF"/>
    <w:rsid w:val="00FC2CC1"/>
    <w:rsid w:val="00FC6E48"/>
    <w:rsid w:val="00FD0096"/>
    <w:rsid w:val="00FE1C35"/>
    <w:rsid w:val="00FE6047"/>
    <w:rsid w:val="00FF5427"/>
    <w:rsid w:val="03BC54B5"/>
    <w:rsid w:val="04078437"/>
    <w:rsid w:val="044B2FED"/>
    <w:rsid w:val="0457C927"/>
    <w:rsid w:val="04EBEAF6"/>
    <w:rsid w:val="0767D33D"/>
    <w:rsid w:val="07D1DE12"/>
    <w:rsid w:val="0A4AD03F"/>
    <w:rsid w:val="0BBDD34F"/>
    <w:rsid w:val="0C432D22"/>
    <w:rsid w:val="0CE02CF8"/>
    <w:rsid w:val="0D0A6A93"/>
    <w:rsid w:val="0DBC2A3B"/>
    <w:rsid w:val="0DD79AB3"/>
    <w:rsid w:val="0EDE2A77"/>
    <w:rsid w:val="0F78E804"/>
    <w:rsid w:val="106E46EC"/>
    <w:rsid w:val="10B98C40"/>
    <w:rsid w:val="11503523"/>
    <w:rsid w:val="133A4B83"/>
    <w:rsid w:val="136083BA"/>
    <w:rsid w:val="1666AABF"/>
    <w:rsid w:val="1E4995F5"/>
    <w:rsid w:val="1F3C2F35"/>
    <w:rsid w:val="1F6B5F3F"/>
    <w:rsid w:val="1FF75B84"/>
    <w:rsid w:val="2007BAC2"/>
    <w:rsid w:val="21414A5F"/>
    <w:rsid w:val="23B883EA"/>
    <w:rsid w:val="25B4C7E4"/>
    <w:rsid w:val="26AF483A"/>
    <w:rsid w:val="2990D1C5"/>
    <w:rsid w:val="2BF391C5"/>
    <w:rsid w:val="2C0DC3B9"/>
    <w:rsid w:val="2D47EEF4"/>
    <w:rsid w:val="2DDB8947"/>
    <w:rsid w:val="2E0304B8"/>
    <w:rsid w:val="2E2E1403"/>
    <w:rsid w:val="30117DF7"/>
    <w:rsid w:val="30FC8EA4"/>
    <w:rsid w:val="34BB23B0"/>
    <w:rsid w:val="35EF0EA3"/>
    <w:rsid w:val="3723A73F"/>
    <w:rsid w:val="383E2D18"/>
    <w:rsid w:val="388CE011"/>
    <w:rsid w:val="396C4F48"/>
    <w:rsid w:val="3B9AF5FC"/>
    <w:rsid w:val="3E318DF3"/>
    <w:rsid w:val="3EB1A182"/>
    <w:rsid w:val="3EEEE1D7"/>
    <w:rsid w:val="42295802"/>
    <w:rsid w:val="42E9D28E"/>
    <w:rsid w:val="4358746B"/>
    <w:rsid w:val="43919D00"/>
    <w:rsid w:val="43F409E1"/>
    <w:rsid w:val="463DE350"/>
    <w:rsid w:val="47EA78FB"/>
    <w:rsid w:val="48F0649B"/>
    <w:rsid w:val="48F6497E"/>
    <w:rsid w:val="49CF687D"/>
    <w:rsid w:val="4EF0058F"/>
    <w:rsid w:val="4EF239C6"/>
    <w:rsid w:val="5334E43D"/>
    <w:rsid w:val="53A381A2"/>
    <w:rsid w:val="543AD782"/>
    <w:rsid w:val="54E483CA"/>
    <w:rsid w:val="5526BB11"/>
    <w:rsid w:val="55D051D5"/>
    <w:rsid w:val="55DBC41C"/>
    <w:rsid w:val="576C7EBC"/>
    <w:rsid w:val="57708404"/>
    <w:rsid w:val="57BCC6E9"/>
    <w:rsid w:val="58363E78"/>
    <w:rsid w:val="5B80B7E1"/>
    <w:rsid w:val="5CD553D7"/>
    <w:rsid w:val="5D30EA17"/>
    <w:rsid w:val="5D6645B4"/>
    <w:rsid w:val="5EC99EA6"/>
    <w:rsid w:val="5F13C95F"/>
    <w:rsid w:val="5F18A8D3"/>
    <w:rsid w:val="60632AF0"/>
    <w:rsid w:val="61DEAB03"/>
    <w:rsid w:val="62868147"/>
    <w:rsid w:val="634235E2"/>
    <w:rsid w:val="6421BF00"/>
    <w:rsid w:val="64DC0FA4"/>
    <w:rsid w:val="653C09F1"/>
    <w:rsid w:val="656723CD"/>
    <w:rsid w:val="668DBB6D"/>
    <w:rsid w:val="6696ECE9"/>
    <w:rsid w:val="67549DA6"/>
    <w:rsid w:val="6799A3CB"/>
    <w:rsid w:val="67BB8923"/>
    <w:rsid w:val="6801C7AB"/>
    <w:rsid w:val="6A3FAA0E"/>
    <w:rsid w:val="6A8AF104"/>
    <w:rsid w:val="6ACF69AE"/>
    <w:rsid w:val="6CA7A667"/>
    <w:rsid w:val="6CB05E5C"/>
    <w:rsid w:val="6E68336A"/>
    <w:rsid w:val="6FF67E6F"/>
    <w:rsid w:val="703B68E8"/>
    <w:rsid w:val="704C608C"/>
    <w:rsid w:val="715B5A89"/>
    <w:rsid w:val="723A4FE3"/>
    <w:rsid w:val="73A74BDA"/>
    <w:rsid w:val="74C457C4"/>
    <w:rsid w:val="74E1475D"/>
    <w:rsid w:val="75992DB4"/>
    <w:rsid w:val="75D303D2"/>
    <w:rsid w:val="77726C17"/>
    <w:rsid w:val="78050D4D"/>
    <w:rsid w:val="79FB7454"/>
    <w:rsid w:val="7A2B38A6"/>
    <w:rsid w:val="7F68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245BC"/>
  <w15:docId w15:val="{70E76357-E501-4C06-9E0C-4147CF85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A6B"/>
    <w:rPr>
      <w:rFonts w:ascii="Arial" w:hAnsi="Arial"/>
      <w:sz w:val="22"/>
      <w:lang w:eastAsia="en-US"/>
    </w:rPr>
  </w:style>
  <w:style w:type="paragraph" w:styleId="Heading1">
    <w:name w:val="heading 1"/>
    <w:aliases w:val="Heading Level 1"/>
    <w:basedOn w:val="Normal"/>
    <w:next w:val="Normal"/>
    <w:link w:val="Heading1Char"/>
    <w:qFormat/>
    <w:rsid w:val="00493C80"/>
    <w:pPr>
      <w:keepNext/>
      <w:numPr>
        <w:numId w:val="6"/>
      </w:numPr>
      <w:spacing w:before="480" w:after="240"/>
      <w:outlineLvl w:val="0"/>
    </w:pPr>
    <w:rPr>
      <w:b/>
      <w:sz w:val="28"/>
    </w:rPr>
  </w:style>
  <w:style w:type="paragraph" w:styleId="Heading2">
    <w:name w:val="heading 2"/>
    <w:aliases w:val="Heading Level 2"/>
    <w:basedOn w:val="Normal"/>
    <w:next w:val="Normal"/>
    <w:qFormat/>
    <w:rsid w:val="00E81F57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Heading4">
    <w:name w:val="heading 4"/>
    <w:aliases w:val="Heading Level 4"/>
    <w:basedOn w:val="Normal"/>
    <w:next w:val="Normal"/>
    <w:link w:val="Heading4Char"/>
    <w:qFormat/>
    <w:rsid w:val="00441A6B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nging">
    <w:name w:val="Hanging"/>
    <w:basedOn w:val="Normal"/>
    <w:pPr>
      <w:ind w:left="720" w:hanging="720"/>
    </w:pPr>
  </w:style>
  <w:style w:type="paragraph" w:customStyle="1" w:styleId="Sidehead11">
    <w:name w:val="Sidehead11"/>
    <w:basedOn w:val="Hanging"/>
    <w:next w:val="Hanging"/>
    <w:rPr>
      <w:b/>
    </w:rPr>
  </w:style>
  <w:style w:type="paragraph" w:customStyle="1" w:styleId="Sidehead14">
    <w:name w:val="Sidehead14"/>
    <w:basedOn w:val="Sidehead11"/>
    <w:next w:val="Hanging"/>
    <w:rPr>
      <w:sz w:val="28"/>
    </w:rPr>
  </w:style>
  <w:style w:type="paragraph" w:customStyle="1" w:styleId="Centre14">
    <w:name w:val="Centre14"/>
    <w:basedOn w:val="Hanging"/>
    <w:next w:val="Normal"/>
    <w:pPr>
      <w:ind w:left="0" w:firstLine="0"/>
      <w:jc w:val="center"/>
    </w:pPr>
    <w:rPr>
      <w:b/>
      <w:sz w:val="28"/>
    </w:rPr>
  </w:style>
  <w:style w:type="paragraph" w:customStyle="1" w:styleId="Centre11">
    <w:name w:val="Centre11"/>
    <w:basedOn w:val="Centre14"/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wlogo">
    <w:name w:val="wlogo"/>
    <w:pPr>
      <w:jc w:val="both"/>
    </w:pPr>
    <w:rPr>
      <w:rFonts w:ascii="Arial" w:hAnsi="Arial"/>
      <w:sz w:val="22"/>
      <w:lang w:eastAsia="en-US"/>
    </w:rPr>
  </w:style>
  <w:style w:type="paragraph" w:styleId="BodyTextIndent">
    <w:name w:val="Body Text Indent"/>
    <w:basedOn w:val="Normal"/>
    <w:pPr>
      <w:ind w:left="720"/>
    </w:pPr>
    <w:rPr>
      <w:i/>
      <w:iCs/>
    </w:rPr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rsid w:val="0005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E6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E670C"/>
    <w:rPr>
      <w:rFonts w:ascii="Tahoma" w:hAnsi="Tahoma" w:cs="Tahoma"/>
      <w:sz w:val="16"/>
      <w:szCs w:val="16"/>
      <w:lang w:eastAsia="en-US"/>
    </w:rPr>
  </w:style>
  <w:style w:type="paragraph" w:customStyle="1" w:styleId="HeadingLevel3">
    <w:name w:val="Heading Level 3"/>
    <w:basedOn w:val="Heading4"/>
    <w:link w:val="HeadingLevel3Char"/>
    <w:qFormat/>
    <w:rsid w:val="00FE6047"/>
  </w:style>
  <w:style w:type="character" w:styleId="Strong">
    <w:name w:val="Strong"/>
    <w:basedOn w:val="DefaultParagraphFont"/>
    <w:rsid w:val="00E61111"/>
    <w:rPr>
      <w:b/>
      <w:bCs/>
    </w:rPr>
  </w:style>
  <w:style w:type="character" w:customStyle="1" w:styleId="Heading4Char">
    <w:name w:val="Heading 4 Char"/>
    <w:aliases w:val="Heading Level 4 Char"/>
    <w:basedOn w:val="DefaultParagraphFont"/>
    <w:link w:val="Heading4"/>
    <w:rsid w:val="00441A6B"/>
    <w:rPr>
      <w:rFonts w:ascii="Arial" w:hAnsi="Arial"/>
      <w:b/>
      <w:bCs/>
      <w:sz w:val="22"/>
      <w:szCs w:val="28"/>
      <w:lang w:eastAsia="en-US"/>
    </w:rPr>
  </w:style>
  <w:style w:type="character" w:customStyle="1" w:styleId="HeadingLevel3Char">
    <w:name w:val="Heading Level 3 Char"/>
    <w:basedOn w:val="Heading4Char"/>
    <w:link w:val="HeadingLevel3"/>
    <w:rsid w:val="00FE6047"/>
    <w:rPr>
      <w:rFonts w:ascii="Arial" w:hAnsi="Arial"/>
      <w:b/>
      <w:bCs/>
      <w:sz w:val="22"/>
      <w:szCs w:val="28"/>
      <w:lang w:eastAsia="en-US"/>
    </w:rPr>
  </w:style>
  <w:style w:type="paragraph" w:styleId="ListParagraph">
    <w:name w:val="List Paragraph"/>
    <w:basedOn w:val="Normal"/>
    <w:uiPriority w:val="34"/>
    <w:rsid w:val="00E61111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E61111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rsid w:val="00E61111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qFormat/>
    <w:rsid w:val="00F2665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2665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665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6655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26655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925F20"/>
    <w:pPr>
      <w:tabs>
        <w:tab w:val="left" w:pos="1276"/>
        <w:tab w:val="right" w:leader="dot" w:pos="9019"/>
      </w:tabs>
      <w:spacing w:after="100"/>
      <w:ind w:left="660"/>
    </w:pPr>
  </w:style>
  <w:style w:type="paragraph" w:styleId="NoSpacing">
    <w:name w:val="No Spacing"/>
    <w:link w:val="NoSpacingChar"/>
    <w:uiPriority w:val="1"/>
    <w:qFormat/>
    <w:rsid w:val="00D134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134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43CD0"/>
    <w:rPr>
      <w:rFonts w:ascii="Arial" w:hAnsi="Arial"/>
      <w:sz w:val="22"/>
      <w:lang w:eastAsia="en-US"/>
    </w:rPr>
  </w:style>
  <w:style w:type="table" w:customStyle="1" w:styleId="TableGrid111">
    <w:name w:val="Table Grid111"/>
    <w:basedOn w:val="TableNormal"/>
    <w:next w:val="TableGrid"/>
    <w:uiPriority w:val="59"/>
    <w:locked/>
    <w:rsid w:val="00E725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Level 1 Char"/>
    <w:basedOn w:val="DefaultParagraphFont"/>
    <w:link w:val="Heading1"/>
    <w:rsid w:val="00493C80"/>
    <w:rPr>
      <w:rFonts w:ascii="Arial" w:hAnsi="Arial"/>
      <w:b/>
      <w:sz w:val="28"/>
      <w:lang w:eastAsia="en-US"/>
    </w:rPr>
  </w:style>
  <w:style w:type="table" w:styleId="GridTable4-Accent3">
    <w:name w:val="Grid Table 4 Accent 3"/>
    <w:basedOn w:val="TableNormal"/>
    <w:uiPriority w:val="49"/>
    <w:rsid w:val="00D042C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82229A"/>
    <w:pPr>
      <w:widowControl w:val="0"/>
      <w:suppressAutoHyphens/>
    </w:pPr>
    <w:rPr>
      <w:rFonts w:ascii="Arial" w:eastAsia="SimSun" w:hAnsi="Arial" w:cs="Arial"/>
      <w:color w:val="000000"/>
      <w:kern w:val="1"/>
      <w:sz w:val="24"/>
      <w:szCs w:val="24"/>
      <w:lang w:eastAsia="zh-CN" w:bidi="hi-IN"/>
    </w:rPr>
  </w:style>
  <w:style w:type="character" w:styleId="SubtleEmphasis">
    <w:name w:val="Subtle Emphasis"/>
    <w:uiPriority w:val="19"/>
    <w:qFormat/>
    <w:rsid w:val="00586098"/>
    <w:rPr>
      <w:i/>
      <w:iCs/>
      <w:color w:val="4040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098"/>
    <w:pPr>
      <w:widowControl w:val="0"/>
      <w:suppressAutoHyphens/>
      <w:spacing w:after="60"/>
      <w:jc w:val="center"/>
      <w:outlineLvl w:val="1"/>
    </w:pPr>
    <w:rPr>
      <w:rFonts w:ascii="Calibri Light" w:hAnsi="Calibri Light" w:cs="Mangal"/>
      <w:kern w:val="1"/>
      <w:sz w:val="24"/>
      <w:szCs w:val="21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586098"/>
    <w:rPr>
      <w:rFonts w:ascii="Calibri Light" w:hAnsi="Calibri Light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C551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derbycollegeac.sharepoint.com/:w:/r/sites/IPPolicyManagement/Policy%20Documents/Staff%20Policies/Higher%20Education/HE%20Academic%20Appeals%20Policy/HE%20Academic%20Appeals%20Policy%20Supporting%20Document/HE%20Academic%20Appeals%20Procedure.docx?d=w60c705ec708f42b1bcbca68b896989b5&amp;csf=1&amp;web=1&amp;e=Rpv2x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b5ba183-116c-4df8-b4ca-532a6528ee32" xsi:nil="true"/>
    <Owner xmlns="1b5ba183-116c-4df8-b4ca-532a6528ee32">
      <UserInfo>
        <DisplayName>i:0#.f|membership|roberta.hall@derby-college.ac.uk</DisplayName>
        <AccountId>32</AccountId>
        <AccountType/>
      </UserInfo>
      <UserInfo>
        <DisplayName>i:0#.f|membership|tracey.burgin@derby-college.ac.uk</DisplayName>
        <AccountId>26</AccountId>
        <AccountType/>
      </UserInfo>
      <UserInfo>
        <DisplayName>i:0#.f|membership|richard.bell@derby-college.ac.uk</DisplayName>
        <AccountId>927</AccountId>
        <AccountType/>
      </UserInfo>
    </Owner>
    <TaxCatchAll xmlns="8fcdd78c-ee52-4d2a-a2de-41b5532d373d" xsi:nil="true"/>
    <lcf76f155ced4ddcb4097134ff3c332f xmlns="1b5ba183-116c-4df8-b4ca-532a6528ee32">
      <Terms xmlns="http://schemas.microsoft.com/office/infopath/2007/PartnerControls"/>
    </lcf76f155ced4ddcb4097134ff3c332f>
    <Template xmlns="1b5ba183-116c-4df8-b4ca-532a6528ee32">New Template</Template>
    <Website xmlns="1b5ba183-116c-4df8-b4ca-532a6528ee32">false</Website>
    <Approval xmlns="1b5ba183-116c-4df8-b4ca-532a6528ee32" xsi:nil="true"/>
    <Policythisbelongsto xmlns="1b5ba183-116c-4df8-b4ca-532a6528ee32" xsi:nil="true"/>
    <EndDate xmlns="1b5ba183-116c-4df8-b4ca-532a6528ee32" xsi:nil="true"/>
    <SDLinkedinsidePolicy xmlns="1b5ba183-116c-4df8-b4ca-532a6528ee32">true</SDLinkedinsidePolicy>
    <EmailReminder xmlns="1b5ba183-116c-4df8-b4ca-532a6528ee32">false</EmailRemin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8F566226ED446A891F88EE0E3A321" ma:contentTypeVersion="21" ma:contentTypeDescription="Create a new document." ma:contentTypeScope="" ma:versionID="b3132d569ef8b92e3695db48e06b15ed">
  <xsd:schema xmlns:xsd="http://www.w3.org/2001/XMLSchema" xmlns:xs="http://www.w3.org/2001/XMLSchema" xmlns:p="http://schemas.microsoft.com/office/2006/metadata/properties" xmlns:ns2="1b5ba183-116c-4df8-b4ca-532a6528ee32" xmlns:ns3="8fcdd78c-ee52-4d2a-a2de-41b5532d373d" targetNamespace="http://schemas.microsoft.com/office/2006/metadata/properties" ma:root="true" ma:fieldsID="7029f823b322c10b59bf64617033f0b1" ns2:_="" ns3:_="">
    <xsd:import namespace="1b5ba183-116c-4df8-b4ca-532a6528ee32"/>
    <xsd:import namespace="8fcdd78c-ee52-4d2a-a2de-41b5532d373d"/>
    <xsd:element name="properties">
      <xsd:complexType>
        <xsd:sequence>
          <xsd:element name="documentManagement">
            <xsd:complexType>
              <xsd:all>
                <xsd:element ref="ns2:Owne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Template" minOccurs="0"/>
                <xsd:element ref="ns2:Website" minOccurs="0"/>
                <xsd:element ref="ns2:Policythisbelongsto" minOccurs="0"/>
                <xsd:element ref="ns2:EndDate" minOccurs="0"/>
                <xsd:element ref="ns2:EmailReminder" minOccurs="0"/>
                <xsd:element ref="ns2:Approval" minOccurs="0"/>
                <xsd:element ref="ns2:SDLinkedinside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a183-116c-4df8-b4ca-532a6528ee32" elementFormDefault="qualified">
    <xsd:import namespace="http://schemas.microsoft.com/office/2006/documentManagement/types"/>
    <xsd:import namespace="http://schemas.microsoft.com/office/infopath/2007/PartnerControls"/>
    <xsd:element name="Owner" ma:index="8" ma:displayName="Owner" ma:description="Owner of thhe document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emplate" ma:index="22" nillable="true" ma:displayName="Template" ma:format="Dropdown" ma:internalName="Template">
      <xsd:simpleType>
        <xsd:restriction base="dms:Choice">
          <xsd:enumeration value="New Template"/>
          <xsd:enumeration value="Old Template"/>
          <xsd:enumeration value="N/A"/>
        </xsd:restriction>
      </xsd:simpleType>
    </xsd:element>
    <xsd:element name="Website" ma:index="23" nillable="true" ma:displayName="Website" ma:default="0" ma:format="Dropdown" ma:internalName="Website">
      <xsd:simpleType>
        <xsd:restriction base="dms:Boolean"/>
      </xsd:simpleType>
    </xsd:element>
    <xsd:element name="Policythisbelongsto" ma:index="24" nillable="true" ma:displayName="Policy this belongs to" ma:format="Dropdown" ma:internalName="Policythisbelongsto">
      <xsd:simpleType>
        <xsd:restriction base="dms:Text">
          <xsd:maxLength value="255"/>
        </xsd:restriction>
      </xsd:simpleType>
    </xsd:element>
    <xsd:element name="EndDate" ma:index="25" nillable="true" ma:displayName="End Date for Website Policies (Admin Only)" ma:description="Please do not edit this column" ma:format="DateOnly" ma:internalName="EndDate">
      <xsd:simpleType>
        <xsd:restriction base="dms:DateTime"/>
      </xsd:simpleType>
    </xsd:element>
    <xsd:element name="EmailReminder" ma:index="26" nillable="true" ma:displayName="Email Reminder" ma:default="0" ma:description="Email Reminder set up for 60 days in advance" ma:format="Dropdown" ma:internalName="EmailReminder">
      <xsd:simpleType>
        <xsd:restriction base="dms:Boolean"/>
      </xsd:simpleType>
    </xsd:element>
    <xsd:element name="Approval" ma:index="27" nillable="true" ma:displayName="Approval Level" ma:description="Which Committee/SLT or Corporation it needs approval from" ma:format="Dropdown" ma:internalName="Approv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t Committee"/>
                    <xsd:enumeration value="Corporation"/>
                    <xsd:enumeration value="Curriculum Planning &amp; Performance (CPP)"/>
                    <xsd:enumeration value="FRC"/>
                    <xsd:enumeration value="HE Academic Board"/>
                    <xsd:enumeration value="HE SLT"/>
                    <xsd:enumeration value="Health, Safety and Environmental Committee (HSE)"/>
                    <xsd:enumeration value="Joint Consultation Group (JCG)"/>
                    <xsd:enumeration value="Senior Leadership Team (SLT)"/>
                  </xsd:restriction>
                </xsd:simpleType>
              </xsd:element>
            </xsd:sequence>
          </xsd:extension>
        </xsd:complexContent>
      </xsd:complexType>
    </xsd:element>
    <xsd:element name="SDLinkedinsidePolicy" ma:index="28" nillable="true" ma:displayName="SD Linked inside Policy" ma:default="0" ma:description="Supporting documents linked inside policy" ma:format="Dropdown" ma:internalName="SDLinkedinside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dd78c-ee52-4d2a-a2de-41b5532d373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27f6309-6f0d-45ec-8fba-6400713f518a}" ma:internalName="TaxCatchAll" ma:showField="CatchAllData" ma:web="8fcdd78c-ee52-4d2a-a2de-41b5532d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AFF59-E6F5-4DEE-90E2-6D99CBC1614B}">
  <ds:schemaRefs>
    <ds:schemaRef ds:uri="http://schemas.microsoft.com/office/2006/metadata/properties"/>
    <ds:schemaRef ds:uri="http://schemas.microsoft.com/office/infopath/2007/PartnerControls"/>
    <ds:schemaRef ds:uri="1b5ba183-116c-4df8-b4ca-532a6528ee32"/>
    <ds:schemaRef ds:uri="8fcdd78c-ee52-4d2a-a2de-41b5532d373d"/>
  </ds:schemaRefs>
</ds:datastoreItem>
</file>

<file path=customXml/itemProps2.xml><?xml version="1.0" encoding="utf-8"?>
<ds:datastoreItem xmlns:ds="http://schemas.openxmlformats.org/officeDocument/2006/customXml" ds:itemID="{594DB699-7506-4DE2-B3CB-62DA8D7F0C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573F5-1C17-40BB-8785-C256D4B22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ba183-116c-4df8-b4ca-532a6528ee32"/>
    <ds:schemaRef ds:uri="8fcdd78c-ee52-4d2a-a2de-41b5532d3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FE843-D73A-4336-8CFD-35581D2C7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2055</Words>
  <Characters>11239</Characters>
  <Application>Microsoft Office Word</Application>
  <DocSecurity>0</DocSecurity>
  <Lines>348</Lines>
  <Paragraphs>162</Paragraphs>
  <ScaleCrop>false</ScaleCrop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Bell</dc:creator>
  <cp:keywords/>
  <dc:description/>
  <cp:lastModifiedBy>Kellie Hall</cp:lastModifiedBy>
  <cp:revision>2</cp:revision>
  <dcterms:created xsi:type="dcterms:W3CDTF">2026-04-13T15:02:00Z</dcterms:created>
  <dcterms:modified xsi:type="dcterms:W3CDTF">2026-04-13T15:02:00Z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0x0101005658F566226ED446A891F88EE0E3A321</vt:lpwstr>
  </property>
  <property fmtid="{D5CDD505-2E9C-101B-9397-08002B2CF9AE}" pid="3" name="Event">
    <vt:lpwstr>Request Reject</vt:lpwstr>
  </property>
  <property fmtid="{D5CDD505-2E9C-101B-9397-08002B2CF9AE}" pid="4" name="PublishStatus">
    <vt:lpwstr>Published</vt:lpwstr>
  </property>
  <property fmtid="{D5CDD505-2E9C-101B-9397-08002B2CF9AE}" pid="5" name="DocumentOwner">
    <vt:lpwstr>Roberta Hall</vt:lpwstr>
  </property>
  <property fmtid="{D5CDD505-2E9C-101B-9397-08002B2CF9AE}" pid="6" name="Approved Users Count">
    <vt:r8>0</vt:r8>
  </property>
  <property fmtid="{D5CDD505-2E9C-101B-9397-08002B2CF9AE}" pid="7" name="Reviewed Users Count">
    <vt:r8>0</vt:r8>
  </property>
  <property fmtid="{D5CDD505-2E9C-101B-9397-08002B2CF9AE}" pid="8" name="DateCreated">
    <vt:filetime>2020-06-11T09:17:15Z</vt:filetime>
  </property>
  <property fmtid="{D5CDD505-2E9C-101B-9397-08002B2CF9AE}" pid="9" name="AssignedTo">
    <vt:lpwstr>48;#Julie.Dorrington@derby-college.ac.uk</vt:lpwstr>
  </property>
  <property fmtid="{D5CDD505-2E9C-101B-9397-08002B2CF9AE}" pid="10" name="CompletedInstance5">
    <vt:lpwstr>926f1bcd-cb92-4684-b7cb-0be6b98c5f35,b5982797-6bfb-4928-a47a-faa2e90be30e</vt:lpwstr>
  </property>
  <property fmtid="{D5CDD505-2E9C-101B-9397-08002B2CF9AE}" pid="11" name="RunningLastInstance">
    <vt:lpwstr>08585368125484321914003915806CU151-3</vt:lpwstr>
  </property>
  <property fmtid="{D5CDD505-2E9C-101B-9397-08002B2CF9AE}" pid="12" name="CompletedInstance2">
    <vt:lpwstr>949221ed-05d6-4298-9865-9d264e16cf5a</vt:lpwstr>
  </property>
  <property fmtid="{D5CDD505-2E9C-101B-9397-08002B2CF9AE}" pid="13" name="UploadBy">
    <vt:lpwstr>28</vt:lpwstr>
  </property>
  <property fmtid="{D5CDD505-2E9C-101B-9397-08002B2CF9AE}" pid="14" name="CompletedInstance">
    <vt:lpwstr>08585639213911074721820793430CU67-2-202210031052198</vt:lpwstr>
  </property>
  <property fmtid="{D5CDD505-2E9C-101B-9397-08002B2CF9AE}" pid="15" name="DateStarted">
    <vt:filetime>2022-10-03T10:52:19Z</vt:filetime>
  </property>
  <property fmtid="{D5CDD505-2E9C-101B-9397-08002B2CF9AE}" pid="16" name="DateReviewCompleted">
    <vt:filetime>2022-10-03T11:49:48Z</vt:filetime>
  </property>
  <property fmtid="{D5CDD505-2E9C-101B-9397-08002B2CF9AE}" pid="17" name="ApprovedDate">
    <vt:filetime>2022-10-03T11:50:53Z</vt:filetime>
  </property>
  <property fmtid="{D5CDD505-2E9C-101B-9397-08002B2CF9AE}" pid="18" name="EndDate">
    <vt:filetime>2023-10-03T00:00:00Z</vt:filetime>
  </property>
  <property fmtid="{D5CDD505-2E9C-101B-9397-08002B2CF9AE}" pid="19" name="DatePublished">
    <vt:filetime>2022-10-03T16:04:08Z</vt:filetime>
  </property>
  <property fmtid="{D5CDD505-2E9C-101B-9397-08002B2CF9AE}" pid="20" name="ReviewInterval">
    <vt:r8>365</vt:r8>
  </property>
  <property fmtid="{D5CDD505-2E9C-101B-9397-08002B2CF9AE}" pid="21" name="NextReviewDate">
    <vt:filetime>2023-07-05T00:00:00Z</vt:filetime>
  </property>
  <property fmtid="{D5CDD505-2E9C-101B-9397-08002B2CF9AE}" pid="22" name="DateLastPublished">
    <vt:filetime>2023-03-20T14:15:30Z</vt:filetime>
  </property>
  <property fmtid="{D5CDD505-2E9C-101B-9397-08002B2CF9AE}" pid="23" name="MSIP_Label_a8660e0d-c47b-41e7-a62b-fb6eff85b393_Enabled">
    <vt:lpwstr>true</vt:lpwstr>
  </property>
  <property fmtid="{D5CDD505-2E9C-101B-9397-08002B2CF9AE}" pid="24" name="MSIP_Label_a8660e0d-c47b-41e7-a62b-fb6eff85b393_SetDate">
    <vt:lpwstr>2023-10-24T13:03:15Z</vt:lpwstr>
  </property>
  <property fmtid="{D5CDD505-2E9C-101B-9397-08002B2CF9AE}" pid="25" name="MSIP_Label_a8660e0d-c47b-41e7-a62b-fb6eff85b393_Method">
    <vt:lpwstr>Standard</vt:lpwstr>
  </property>
  <property fmtid="{D5CDD505-2E9C-101B-9397-08002B2CF9AE}" pid="26" name="MSIP_Label_a8660e0d-c47b-41e7-a62b-fb6eff85b393_Name">
    <vt:lpwstr>defa4170-0d19-0005-0004-bc88714345d2</vt:lpwstr>
  </property>
  <property fmtid="{D5CDD505-2E9C-101B-9397-08002B2CF9AE}" pid="27" name="MSIP_Label_a8660e0d-c47b-41e7-a62b-fb6eff85b393_SiteId">
    <vt:lpwstr>7584d747-9421-477d-8345-bedc5d73bc46</vt:lpwstr>
  </property>
  <property fmtid="{D5CDD505-2E9C-101B-9397-08002B2CF9AE}" pid="28" name="MSIP_Label_a8660e0d-c47b-41e7-a62b-fb6eff85b393_ActionId">
    <vt:lpwstr>8da6c7f5-bf6a-4c92-adeb-cf11ebd6c14a</vt:lpwstr>
  </property>
  <property fmtid="{D5CDD505-2E9C-101B-9397-08002B2CF9AE}" pid="29" name="MSIP_Label_a8660e0d-c47b-41e7-a62b-fb6eff85b393_ContentBits">
    <vt:lpwstr>0</vt:lpwstr>
  </property>
  <property fmtid="{D5CDD505-2E9C-101B-9397-08002B2CF9AE}" pid="30" name="MediaServiceImageTags">
    <vt:lpwstr/>
  </property>
</Properties>
</file>